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76" w:rsidRDefault="001512DE" w:rsidP="00946C76">
      <w:pPr>
        <w:ind w:left="-360" w:right="-180"/>
      </w:pPr>
      <w:r>
        <w:rPr>
          <w:noProof/>
        </w:rPr>
        <w:drawing>
          <wp:inline distT="0" distB="0" distL="0" distR="0">
            <wp:extent cx="2480945" cy="660400"/>
            <wp:effectExtent l="19050" t="0" r="0" b="0"/>
            <wp:docPr id="1" name="Picture 2" descr="XPLlog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LlogoLoRes.jpg"/>
                    <pic:cNvPicPr>
                      <a:picLocks noChangeAspect="1" noChangeArrowheads="1"/>
                    </pic:cNvPicPr>
                  </pic:nvPicPr>
                  <pic:blipFill>
                    <a:blip r:embed="rId5" cstate="print"/>
                    <a:srcRect/>
                    <a:stretch>
                      <a:fillRect/>
                    </a:stretch>
                  </pic:blipFill>
                  <pic:spPr bwMode="auto">
                    <a:xfrm>
                      <a:off x="0" y="0"/>
                      <a:ext cx="2480945" cy="660400"/>
                    </a:xfrm>
                    <a:prstGeom prst="rect">
                      <a:avLst/>
                    </a:prstGeom>
                    <a:noFill/>
                    <a:ln w="9525">
                      <a:noFill/>
                      <a:miter lim="800000"/>
                      <a:headEnd/>
                      <a:tailEnd/>
                    </a:ln>
                  </pic:spPr>
                </pic:pic>
              </a:graphicData>
            </a:graphic>
          </wp:inline>
        </w:drawing>
      </w:r>
      <w:r w:rsidR="00946C76">
        <w:tab/>
      </w:r>
      <w:r w:rsidR="00946C76">
        <w:tab/>
      </w:r>
      <w:r w:rsidR="00946C76">
        <w:tab/>
      </w:r>
      <w:r w:rsidR="00946C76">
        <w:tab/>
      </w:r>
      <w:r w:rsidR="00946C76">
        <w:tab/>
      </w:r>
      <w:r>
        <w:rPr>
          <w:noProof/>
        </w:rPr>
        <w:drawing>
          <wp:inline distT="0" distB="0" distL="0" distR="0">
            <wp:extent cx="1422400" cy="812800"/>
            <wp:effectExtent l="19050" t="0" r="6350" b="0"/>
            <wp:docPr id="2" name="Picture 2" descr="ELY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Y GOLD LOGO.jpg"/>
                    <pic:cNvPicPr>
                      <a:picLocks noChangeAspect="1" noChangeArrowheads="1"/>
                    </pic:cNvPicPr>
                  </pic:nvPicPr>
                  <pic:blipFill>
                    <a:blip r:embed="rId6" cstate="print"/>
                    <a:srcRect/>
                    <a:stretch>
                      <a:fillRect/>
                    </a:stretch>
                  </pic:blipFill>
                  <pic:spPr bwMode="auto">
                    <a:xfrm>
                      <a:off x="0" y="0"/>
                      <a:ext cx="1422400" cy="812800"/>
                    </a:xfrm>
                    <a:prstGeom prst="rect">
                      <a:avLst/>
                    </a:prstGeom>
                    <a:noFill/>
                    <a:ln w="9525">
                      <a:noFill/>
                      <a:miter lim="800000"/>
                      <a:headEnd/>
                      <a:tailEnd/>
                    </a:ln>
                  </pic:spPr>
                </pic:pic>
              </a:graphicData>
            </a:graphic>
          </wp:inline>
        </w:drawing>
      </w:r>
    </w:p>
    <w:p w:rsidR="00946C76" w:rsidRDefault="00946C76" w:rsidP="00946C76">
      <w:pPr>
        <w:tabs>
          <w:tab w:val="left" w:pos="6750"/>
          <w:tab w:val="left" w:pos="7020"/>
        </w:tabs>
        <w:ind w:right="-180"/>
      </w:pPr>
    </w:p>
    <w:p w:rsidR="00B56399" w:rsidRPr="00163CB8" w:rsidRDefault="00B56399" w:rsidP="00B56399">
      <w:pPr>
        <w:rPr>
          <w:b/>
          <w:i/>
          <w:sz w:val="22"/>
          <w:szCs w:val="22"/>
        </w:rPr>
      </w:pPr>
      <w:r w:rsidRPr="00EF0048">
        <w:rPr>
          <w:sz w:val="22"/>
          <w:szCs w:val="22"/>
          <w:lang w:val="pt-BR"/>
        </w:rPr>
        <w:tab/>
      </w:r>
      <w:r w:rsidRPr="00EF0048">
        <w:rPr>
          <w:sz w:val="22"/>
          <w:szCs w:val="22"/>
          <w:lang w:val="pt-BR"/>
        </w:rPr>
        <w:tab/>
      </w:r>
      <w:r>
        <w:rPr>
          <w:sz w:val="22"/>
          <w:szCs w:val="22"/>
          <w:lang w:val="pt-BR"/>
        </w:rPr>
        <w:t xml:space="preserve">         </w:t>
      </w:r>
      <w:r w:rsidR="00946C76">
        <w:rPr>
          <w:sz w:val="22"/>
          <w:szCs w:val="22"/>
          <w:lang w:val="pt-BR"/>
        </w:rPr>
        <w:tab/>
      </w:r>
      <w:r w:rsidR="00946C76">
        <w:rPr>
          <w:sz w:val="22"/>
          <w:szCs w:val="22"/>
          <w:lang w:val="pt-BR"/>
        </w:rPr>
        <w:tab/>
      </w:r>
      <w:r w:rsidR="00946C76">
        <w:rPr>
          <w:sz w:val="22"/>
          <w:szCs w:val="22"/>
          <w:lang w:val="pt-BR"/>
        </w:rPr>
        <w:tab/>
      </w:r>
      <w:r w:rsidR="00946C76">
        <w:rPr>
          <w:sz w:val="22"/>
          <w:szCs w:val="22"/>
          <w:lang w:val="pt-BR"/>
        </w:rPr>
        <w:tab/>
      </w:r>
      <w:r w:rsidR="00946C76">
        <w:rPr>
          <w:sz w:val="22"/>
          <w:szCs w:val="22"/>
          <w:lang w:val="pt-BR"/>
        </w:rPr>
        <w:tab/>
      </w:r>
      <w:r w:rsidR="00946C76">
        <w:rPr>
          <w:sz w:val="22"/>
          <w:szCs w:val="22"/>
          <w:lang w:val="pt-BR"/>
        </w:rPr>
        <w:tab/>
      </w:r>
      <w:r w:rsidR="00946C76">
        <w:rPr>
          <w:sz w:val="22"/>
          <w:szCs w:val="22"/>
          <w:lang w:val="pt-BR"/>
        </w:rPr>
        <w:tab/>
      </w:r>
      <w:r>
        <w:rPr>
          <w:sz w:val="22"/>
          <w:szCs w:val="22"/>
          <w:lang w:val="pt-BR"/>
        </w:rPr>
        <w:t xml:space="preserve"> </w:t>
      </w:r>
      <w:r w:rsidR="00C93BD4">
        <w:rPr>
          <w:b/>
          <w:sz w:val="22"/>
          <w:szCs w:val="22"/>
        </w:rPr>
        <w:t>September</w:t>
      </w:r>
      <w:r w:rsidR="004A249C">
        <w:rPr>
          <w:b/>
          <w:sz w:val="22"/>
          <w:szCs w:val="22"/>
        </w:rPr>
        <w:t xml:space="preserve"> </w:t>
      </w:r>
      <w:r w:rsidR="00D0724B">
        <w:rPr>
          <w:b/>
          <w:sz w:val="22"/>
          <w:szCs w:val="22"/>
        </w:rPr>
        <w:t>10</w:t>
      </w:r>
      <w:r w:rsidRPr="00D0724B">
        <w:rPr>
          <w:b/>
          <w:sz w:val="22"/>
          <w:szCs w:val="22"/>
        </w:rPr>
        <w:t>,</w:t>
      </w:r>
      <w:r w:rsidRPr="00E51AD4">
        <w:rPr>
          <w:b/>
          <w:sz w:val="22"/>
          <w:szCs w:val="22"/>
        </w:rPr>
        <w:t xml:space="preserve"> 201</w:t>
      </w:r>
      <w:r w:rsidR="00FD07A9">
        <w:rPr>
          <w:b/>
          <w:sz w:val="22"/>
          <w:szCs w:val="22"/>
        </w:rPr>
        <w:t>2</w:t>
      </w:r>
    </w:p>
    <w:p w:rsidR="0064560D" w:rsidRDefault="0064560D" w:rsidP="00B56399">
      <w:pPr>
        <w:pStyle w:val="BodyText3"/>
        <w:ind w:right="-126"/>
        <w:rPr>
          <w:b/>
          <w:szCs w:val="22"/>
        </w:rPr>
      </w:pPr>
    </w:p>
    <w:p w:rsidR="005D29B5" w:rsidRDefault="00E62AEC" w:rsidP="00E62AEC">
      <w:pPr>
        <w:pStyle w:val="BodyText3"/>
        <w:ind w:right="-126"/>
        <w:jc w:val="center"/>
        <w:rPr>
          <w:b/>
          <w:sz w:val="24"/>
          <w:szCs w:val="24"/>
          <w:u w:val="single"/>
        </w:rPr>
      </w:pPr>
      <w:r w:rsidRPr="009B1225">
        <w:rPr>
          <w:b/>
          <w:sz w:val="24"/>
          <w:szCs w:val="24"/>
          <w:u w:val="single"/>
        </w:rPr>
        <w:t xml:space="preserve">SOLITARIO ANNOUNCES </w:t>
      </w:r>
      <w:r w:rsidR="005D29B5">
        <w:rPr>
          <w:b/>
          <w:sz w:val="24"/>
          <w:szCs w:val="24"/>
          <w:u w:val="single"/>
        </w:rPr>
        <w:t xml:space="preserve">SIGNIFICANT RESOURCE INCREASE FOR ITS </w:t>
      </w:r>
      <w:r w:rsidR="00F967DB" w:rsidRPr="009B1225">
        <w:rPr>
          <w:b/>
          <w:sz w:val="24"/>
          <w:szCs w:val="24"/>
          <w:u w:val="single"/>
        </w:rPr>
        <w:t xml:space="preserve">MT. HAMILTON </w:t>
      </w:r>
      <w:r w:rsidR="005D29B5">
        <w:rPr>
          <w:b/>
          <w:sz w:val="24"/>
          <w:szCs w:val="24"/>
          <w:u w:val="single"/>
        </w:rPr>
        <w:t>GOLD PROJECT, NEVADA</w:t>
      </w:r>
    </w:p>
    <w:p w:rsidR="00E72300" w:rsidRPr="00B530AA" w:rsidRDefault="00E72300" w:rsidP="00E62AEC">
      <w:pPr>
        <w:pStyle w:val="BodyText3"/>
        <w:ind w:right="-126"/>
        <w:jc w:val="center"/>
        <w:rPr>
          <w:b/>
          <w:szCs w:val="22"/>
        </w:rPr>
      </w:pPr>
    </w:p>
    <w:p w:rsidR="005D29B5" w:rsidRDefault="00E62AEC" w:rsidP="009A5853">
      <w:pPr>
        <w:jc w:val="both"/>
        <w:rPr>
          <w:sz w:val="22"/>
          <w:szCs w:val="22"/>
        </w:rPr>
      </w:pPr>
      <w:r w:rsidRPr="00B3245E">
        <w:rPr>
          <w:sz w:val="22"/>
          <w:szCs w:val="22"/>
        </w:rPr>
        <w:t>Denver, Colorado:  S</w:t>
      </w:r>
      <w:r w:rsidR="00B56399">
        <w:rPr>
          <w:sz w:val="22"/>
          <w:szCs w:val="22"/>
        </w:rPr>
        <w:t xml:space="preserve">olitario Exploration &amp; Royalty Corp. </w:t>
      </w:r>
      <w:r w:rsidR="00B56399" w:rsidRPr="00B56399">
        <w:rPr>
          <w:sz w:val="22"/>
          <w:szCs w:val="22"/>
        </w:rPr>
        <w:t xml:space="preserve">(“Solitario;” NYSE </w:t>
      </w:r>
      <w:r w:rsidR="000627FB">
        <w:rPr>
          <w:sz w:val="22"/>
          <w:szCs w:val="22"/>
        </w:rPr>
        <w:t>MKT</w:t>
      </w:r>
      <w:r w:rsidR="00B56399" w:rsidRPr="00B56399">
        <w:rPr>
          <w:sz w:val="22"/>
          <w:szCs w:val="22"/>
        </w:rPr>
        <w:t xml:space="preserve">: </w:t>
      </w:r>
      <w:r w:rsidR="00B56399" w:rsidRPr="00B56399">
        <w:rPr>
          <w:b/>
          <w:sz w:val="22"/>
          <w:szCs w:val="22"/>
        </w:rPr>
        <w:t>XPL;</w:t>
      </w:r>
      <w:r w:rsidR="00B56399" w:rsidRPr="00B56399">
        <w:rPr>
          <w:sz w:val="22"/>
          <w:szCs w:val="22"/>
        </w:rPr>
        <w:t xml:space="preserve"> TSX: </w:t>
      </w:r>
      <w:r w:rsidR="00B56399" w:rsidRPr="00B56399">
        <w:rPr>
          <w:b/>
          <w:sz w:val="22"/>
          <w:szCs w:val="22"/>
        </w:rPr>
        <w:t>SLR</w:t>
      </w:r>
      <w:r w:rsidRPr="00B56399">
        <w:rPr>
          <w:sz w:val="22"/>
          <w:szCs w:val="22"/>
        </w:rPr>
        <w:t>)</w:t>
      </w:r>
      <w:r w:rsidRPr="00B3245E">
        <w:rPr>
          <w:sz w:val="22"/>
          <w:szCs w:val="22"/>
        </w:rPr>
        <w:t xml:space="preserve"> </w:t>
      </w:r>
      <w:r w:rsidR="0073351B" w:rsidRPr="0073351B">
        <w:rPr>
          <w:sz w:val="22"/>
          <w:szCs w:val="22"/>
        </w:rPr>
        <w:t xml:space="preserve">and Ely Gold &amp; Minerals (“Ely Gold;” TSX.V: </w:t>
      </w:r>
      <w:r w:rsidR="0073351B" w:rsidRPr="0073351B">
        <w:rPr>
          <w:b/>
          <w:sz w:val="22"/>
          <w:szCs w:val="22"/>
        </w:rPr>
        <w:t>ELY</w:t>
      </w:r>
      <w:r w:rsidR="0073351B" w:rsidRPr="0073351B">
        <w:rPr>
          <w:sz w:val="22"/>
          <w:szCs w:val="22"/>
        </w:rPr>
        <w:t>) are pleased to announce</w:t>
      </w:r>
      <w:r w:rsidR="0073351B" w:rsidRPr="00B31A21">
        <w:rPr>
          <w:rFonts w:ascii="Calibri" w:hAnsi="Calibri" w:cs="Calibri"/>
          <w:sz w:val="22"/>
          <w:szCs w:val="22"/>
        </w:rPr>
        <w:t xml:space="preserve"> </w:t>
      </w:r>
      <w:r w:rsidR="005D29B5">
        <w:rPr>
          <w:rFonts w:ascii="Calibri" w:hAnsi="Calibri" w:cs="Calibri"/>
          <w:sz w:val="22"/>
          <w:szCs w:val="22"/>
        </w:rPr>
        <w:t xml:space="preserve">a </w:t>
      </w:r>
      <w:r w:rsidR="005D29B5">
        <w:rPr>
          <w:sz w:val="22"/>
          <w:szCs w:val="22"/>
        </w:rPr>
        <w:t xml:space="preserve">significant resource increase on </w:t>
      </w:r>
      <w:r w:rsidR="008C2E54">
        <w:rPr>
          <w:sz w:val="22"/>
          <w:szCs w:val="22"/>
        </w:rPr>
        <w:t>the</w:t>
      </w:r>
      <w:r w:rsidR="00485C05">
        <w:rPr>
          <w:sz w:val="22"/>
          <w:szCs w:val="22"/>
        </w:rPr>
        <w:t xml:space="preserve"> </w:t>
      </w:r>
      <w:r w:rsidR="0073351B">
        <w:rPr>
          <w:sz w:val="22"/>
          <w:szCs w:val="22"/>
        </w:rPr>
        <w:t xml:space="preserve">Mt. Hamilton </w:t>
      </w:r>
      <w:r w:rsidR="005D29B5">
        <w:rPr>
          <w:sz w:val="22"/>
          <w:szCs w:val="22"/>
        </w:rPr>
        <w:t xml:space="preserve">gold </w:t>
      </w:r>
      <w:r w:rsidR="00307E51">
        <w:rPr>
          <w:sz w:val="22"/>
          <w:szCs w:val="22"/>
        </w:rPr>
        <w:t>p</w:t>
      </w:r>
      <w:r w:rsidR="00485C05">
        <w:rPr>
          <w:sz w:val="22"/>
          <w:szCs w:val="22"/>
        </w:rPr>
        <w:t>ro</w:t>
      </w:r>
      <w:r w:rsidR="005D29B5">
        <w:rPr>
          <w:sz w:val="22"/>
          <w:szCs w:val="22"/>
        </w:rPr>
        <w:t xml:space="preserve">ject </w:t>
      </w:r>
      <w:r w:rsidR="0073351B">
        <w:rPr>
          <w:sz w:val="22"/>
          <w:szCs w:val="22"/>
        </w:rPr>
        <w:t>in eastern Nevada</w:t>
      </w:r>
      <w:r w:rsidR="00342F0C">
        <w:rPr>
          <w:sz w:val="22"/>
          <w:szCs w:val="22"/>
        </w:rPr>
        <w:t>, U.S.A.</w:t>
      </w:r>
      <w:r w:rsidR="0073351B">
        <w:rPr>
          <w:sz w:val="22"/>
          <w:szCs w:val="22"/>
        </w:rPr>
        <w:t xml:space="preserve">  </w:t>
      </w:r>
      <w:r w:rsidR="00CB29FC">
        <w:rPr>
          <w:rFonts w:eastAsia="Calibri"/>
          <w:sz w:val="22"/>
          <w:szCs w:val="22"/>
        </w:rPr>
        <w:t xml:space="preserve"> </w:t>
      </w:r>
      <w:r w:rsidR="006B4686">
        <w:rPr>
          <w:rFonts w:eastAsia="Calibri"/>
          <w:sz w:val="22"/>
          <w:szCs w:val="22"/>
        </w:rPr>
        <w:t xml:space="preserve">A </w:t>
      </w:r>
      <w:r w:rsidR="005D29B5">
        <w:rPr>
          <w:rFonts w:eastAsia="Calibri"/>
          <w:sz w:val="22"/>
          <w:szCs w:val="22"/>
        </w:rPr>
        <w:t xml:space="preserve">new NI-43-101 compliant resource </w:t>
      </w:r>
      <w:r w:rsidR="00836A9C">
        <w:rPr>
          <w:rFonts w:eastAsia="Calibri"/>
          <w:sz w:val="22"/>
          <w:szCs w:val="22"/>
        </w:rPr>
        <w:t xml:space="preserve">estimate </w:t>
      </w:r>
      <w:r w:rsidR="006B4686">
        <w:rPr>
          <w:rFonts w:eastAsia="Calibri"/>
          <w:sz w:val="22"/>
          <w:szCs w:val="22"/>
        </w:rPr>
        <w:t xml:space="preserve">was completed </w:t>
      </w:r>
      <w:r w:rsidR="005D29B5">
        <w:rPr>
          <w:rFonts w:eastAsia="Calibri"/>
          <w:sz w:val="22"/>
          <w:szCs w:val="22"/>
        </w:rPr>
        <w:t xml:space="preserve">on the Seligman </w:t>
      </w:r>
      <w:r w:rsidR="006B4686">
        <w:rPr>
          <w:rFonts w:eastAsia="Calibri"/>
          <w:sz w:val="22"/>
          <w:szCs w:val="22"/>
        </w:rPr>
        <w:t>gold</w:t>
      </w:r>
      <w:r w:rsidR="00836A9C">
        <w:rPr>
          <w:rFonts w:eastAsia="Calibri"/>
          <w:sz w:val="22"/>
          <w:szCs w:val="22"/>
        </w:rPr>
        <w:t xml:space="preserve"> and silver</w:t>
      </w:r>
      <w:r w:rsidR="006B4686">
        <w:rPr>
          <w:rFonts w:eastAsia="Calibri"/>
          <w:sz w:val="22"/>
          <w:szCs w:val="22"/>
        </w:rPr>
        <w:t xml:space="preserve"> </w:t>
      </w:r>
      <w:r w:rsidR="005D29B5">
        <w:rPr>
          <w:rFonts w:eastAsia="Calibri"/>
          <w:sz w:val="22"/>
          <w:szCs w:val="22"/>
        </w:rPr>
        <w:t xml:space="preserve">deposit situated </w:t>
      </w:r>
      <w:r w:rsidR="00917A70">
        <w:rPr>
          <w:rFonts w:eastAsia="Calibri"/>
          <w:sz w:val="22"/>
          <w:szCs w:val="22"/>
        </w:rPr>
        <w:t xml:space="preserve">roughly </w:t>
      </w:r>
      <w:r w:rsidR="00F44C30">
        <w:rPr>
          <w:rFonts w:eastAsia="Calibri"/>
          <w:sz w:val="22"/>
          <w:szCs w:val="22"/>
        </w:rPr>
        <w:t>1,5</w:t>
      </w:r>
      <w:r w:rsidR="005D29B5">
        <w:rPr>
          <w:rFonts w:eastAsia="Calibri"/>
          <w:sz w:val="22"/>
          <w:szCs w:val="22"/>
        </w:rPr>
        <w:t>00 feet north of the Centennial deposit</w:t>
      </w:r>
      <w:r w:rsidR="006B4686">
        <w:rPr>
          <w:rFonts w:eastAsia="Calibri"/>
          <w:sz w:val="22"/>
          <w:szCs w:val="22"/>
        </w:rPr>
        <w:t xml:space="preserve"> which contains previously reported </w:t>
      </w:r>
      <w:r w:rsidR="002F102E">
        <w:rPr>
          <w:rFonts w:eastAsia="Calibri"/>
          <w:sz w:val="22"/>
          <w:szCs w:val="22"/>
        </w:rPr>
        <w:t xml:space="preserve">reserves and </w:t>
      </w:r>
      <w:r w:rsidR="006B4686">
        <w:rPr>
          <w:rFonts w:eastAsia="Calibri"/>
          <w:sz w:val="22"/>
          <w:szCs w:val="22"/>
        </w:rPr>
        <w:t>resources</w:t>
      </w:r>
      <w:r w:rsidR="005D29B5">
        <w:rPr>
          <w:rFonts w:eastAsia="Calibri"/>
          <w:sz w:val="22"/>
          <w:szCs w:val="22"/>
        </w:rPr>
        <w:t xml:space="preserve">.  </w:t>
      </w:r>
      <w:r w:rsidR="005D29B5">
        <w:rPr>
          <w:sz w:val="22"/>
          <w:szCs w:val="22"/>
        </w:rPr>
        <w:t xml:space="preserve">The </w:t>
      </w:r>
      <w:r w:rsidR="005D29B5">
        <w:rPr>
          <w:rFonts w:eastAsia="Calibri"/>
          <w:sz w:val="22"/>
          <w:szCs w:val="22"/>
        </w:rPr>
        <w:t>study w</w:t>
      </w:r>
      <w:r w:rsidR="005D29B5">
        <w:rPr>
          <w:sz w:val="22"/>
          <w:szCs w:val="22"/>
        </w:rPr>
        <w:t xml:space="preserve">as prepared on behalf of </w:t>
      </w:r>
      <w:r w:rsidR="00AD182E">
        <w:rPr>
          <w:sz w:val="22"/>
          <w:szCs w:val="22"/>
        </w:rPr>
        <w:t>Solitario</w:t>
      </w:r>
      <w:r w:rsidR="005D29B5">
        <w:rPr>
          <w:sz w:val="22"/>
          <w:szCs w:val="22"/>
        </w:rPr>
        <w:t xml:space="preserve"> by SRK Consulting (U.S.) Inc. (</w:t>
      </w:r>
      <w:r w:rsidR="008C2E54">
        <w:rPr>
          <w:sz w:val="22"/>
          <w:szCs w:val="22"/>
        </w:rPr>
        <w:t>“</w:t>
      </w:r>
      <w:r w:rsidR="005D29B5">
        <w:rPr>
          <w:sz w:val="22"/>
          <w:szCs w:val="22"/>
        </w:rPr>
        <w:t>SRK</w:t>
      </w:r>
      <w:r w:rsidR="008C2E54">
        <w:rPr>
          <w:sz w:val="22"/>
          <w:szCs w:val="22"/>
        </w:rPr>
        <w:t>”</w:t>
      </w:r>
      <w:r w:rsidR="005D29B5">
        <w:rPr>
          <w:sz w:val="22"/>
          <w:szCs w:val="22"/>
        </w:rPr>
        <w:t>)</w:t>
      </w:r>
      <w:r w:rsidR="002F102E">
        <w:rPr>
          <w:sz w:val="22"/>
          <w:szCs w:val="22"/>
        </w:rPr>
        <w:t xml:space="preserve"> and serves to update the previously reported (February 22, 2012) Mt. Hamilton Feasibility Study</w:t>
      </w:r>
      <w:r w:rsidR="005D29B5">
        <w:rPr>
          <w:sz w:val="22"/>
          <w:szCs w:val="22"/>
        </w:rPr>
        <w:t>.</w:t>
      </w:r>
    </w:p>
    <w:p w:rsidR="005D29B5" w:rsidRDefault="005D29B5" w:rsidP="009A5853">
      <w:pPr>
        <w:jc w:val="both"/>
        <w:rPr>
          <w:sz w:val="22"/>
          <w:szCs w:val="22"/>
        </w:rPr>
      </w:pPr>
    </w:p>
    <w:p w:rsidR="000C3ED9" w:rsidRDefault="00E6563E" w:rsidP="009A5853">
      <w:pPr>
        <w:jc w:val="both"/>
        <w:rPr>
          <w:rFonts w:eastAsia="Calibri"/>
          <w:sz w:val="22"/>
          <w:szCs w:val="22"/>
        </w:rPr>
      </w:pPr>
      <w:r>
        <w:rPr>
          <w:rFonts w:eastAsia="Calibri"/>
          <w:sz w:val="22"/>
          <w:szCs w:val="22"/>
        </w:rPr>
        <w:t xml:space="preserve">The </w:t>
      </w:r>
      <w:r w:rsidR="00836A9C">
        <w:rPr>
          <w:rFonts w:eastAsia="Calibri"/>
          <w:sz w:val="22"/>
          <w:szCs w:val="22"/>
        </w:rPr>
        <w:t>Seligman resource estimate was constrained by an optimized pit using</w:t>
      </w:r>
      <w:r w:rsidR="00AB39F1">
        <w:rPr>
          <w:rFonts w:eastAsia="Calibri"/>
          <w:sz w:val="22"/>
          <w:szCs w:val="22"/>
        </w:rPr>
        <w:t xml:space="preserve"> a gold price of $</w:t>
      </w:r>
      <w:r w:rsidR="0054601F">
        <w:rPr>
          <w:rFonts w:eastAsia="Calibri"/>
          <w:sz w:val="22"/>
          <w:szCs w:val="22"/>
        </w:rPr>
        <w:t>1,500</w:t>
      </w:r>
      <w:r w:rsidR="00433D62">
        <w:rPr>
          <w:rFonts w:eastAsia="Calibri"/>
          <w:sz w:val="22"/>
          <w:szCs w:val="22"/>
        </w:rPr>
        <w:t xml:space="preserve"> per ounce </w:t>
      </w:r>
      <w:r w:rsidR="004A249C">
        <w:rPr>
          <w:rFonts w:eastAsia="Calibri"/>
          <w:sz w:val="22"/>
          <w:szCs w:val="22"/>
        </w:rPr>
        <w:t xml:space="preserve">of </w:t>
      </w:r>
      <w:r w:rsidR="00433D62">
        <w:rPr>
          <w:rFonts w:eastAsia="Calibri"/>
          <w:sz w:val="22"/>
          <w:szCs w:val="22"/>
        </w:rPr>
        <w:t>gold and $</w:t>
      </w:r>
      <w:r w:rsidR="0054601F">
        <w:rPr>
          <w:rFonts w:eastAsia="Calibri"/>
          <w:sz w:val="22"/>
          <w:szCs w:val="22"/>
        </w:rPr>
        <w:t>20.00</w:t>
      </w:r>
      <w:r w:rsidR="00433D62">
        <w:rPr>
          <w:rFonts w:eastAsia="Calibri"/>
          <w:sz w:val="22"/>
          <w:szCs w:val="22"/>
        </w:rPr>
        <w:t xml:space="preserve"> per ounce </w:t>
      </w:r>
      <w:r w:rsidR="004A249C">
        <w:rPr>
          <w:rFonts w:eastAsia="Calibri"/>
          <w:sz w:val="22"/>
          <w:szCs w:val="22"/>
        </w:rPr>
        <w:t xml:space="preserve">of </w:t>
      </w:r>
      <w:r w:rsidR="00433D62">
        <w:rPr>
          <w:rFonts w:eastAsia="Calibri"/>
          <w:sz w:val="22"/>
          <w:szCs w:val="22"/>
        </w:rPr>
        <w:t>silver</w:t>
      </w:r>
      <w:r w:rsidR="0054601F">
        <w:rPr>
          <w:rFonts w:eastAsia="Calibri"/>
          <w:sz w:val="22"/>
          <w:szCs w:val="22"/>
        </w:rPr>
        <w:t xml:space="preserve">. </w:t>
      </w:r>
      <w:r>
        <w:rPr>
          <w:rFonts w:eastAsia="Calibri"/>
          <w:sz w:val="22"/>
          <w:szCs w:val="22"/>
        </w:rPr>
        <w:t xml:space="preserve"> </w:t>
      </w:r>
      <w:r w:rsidR="00B21F51">
        <w:rPr>
          <w:rFonts w:eastAsia="Calibri"/>
          <w:sz w:val="22"/>
          <w:szCs w:val="22"/>
        </w:rPr>
        <w:t xml:space="preserve">At Seligman, </w:t>
      </w:r>
      <w:r>
        <w:rPr>
          <w:rFonts w:eastAsia="Calibri"/>
          <w:sz w:val="22"/>
          <w:szCs w:val="22"/>
        </w:rPr>
        <w:t xml:space="preserve">SRK estimated an in-pit Indicated Resource containing </w:t>
      </w:r>
      <w:r w:rsidR="00F61129">
        <w:rPr>
          <w:rFonts w:eastAsia="Calibri"/>
          <w:sz w:val="22"/>
          <w:szCs w:val="22"/>
        </w:rPr>
        <w:t>166,691</w:t>
      </w:r>
      <w:r>
        <w:rPr>
          <w:rFonts w:eastAsia="Calibri"/>
          <w:sz w:val="22"/>
          <w:szCs w:val="22"/>
        </w:rPr>
        <w:t xml:space="preserve"> ounces of gold equivalent (“</w:t>
      </w:r>
      <w:proofErr w:type="spellStart"/>
      <w:r>
        <w:rPr>
          <w:rFonts w:eastAsia="Calibri"/>
          <w:sz w:val="22"/>
          <w:szCs w:val="22"/>
        </w:rPr>
        <w:t>AuEq</w:t>
      </w:r>
      <w:proofErr w:type="spellEnd"/>
      <w:r>
        <w:rPr>
          <w:rFonts w:eastAsia="Calibri"/>
          <w:sz w:val="22"/>
          <w:szCs w:val="22"/>
        </w:rPr>
        <w:t>”)</w:t>
      </w:r>
      <w:r w:rsidR="00B21F51">
        <w:rPr>
          <w:rFonts w:eastAsia="Calibri"/>
          <w:sz w:val="22"/>
          <w:szCs w:val="22"/>
        </w:rPr>
        <w:t xml:space="preserve">, with an additional </w:t>
      </w:r>
      <w:r w:rsidR="00AB39F1">
        <w:rPr>
          <w:rFonts w:eastAsia="Calibri"/>
          <w:sz w:val="22"/>
          <w:szCs w:val="22"/>
        </w:rPr>
        <w:t xml:space="preserve">in-pit Inferred Resource totaling </w:t>
      </w:r>
      <w:r w:rsidR="00F61129">
        <w:rPr>
          <w:rFonts w:eastAsia="Calibri"/>
          <w:sz w:val="22"/>
          <w:szCs w:val="22"/>
        </w:rPr>
        <w:t>87,929</w:t>
      </w:r>
      <w:r w:rsidR="00AB39F1">
        <w:rPr>
          <w:rFonts w:eastAsia="Calibri"/>
          <w:sz w:val="22"/>
          <w:szCs w:val="22"/>
        </w:rPr>
        <w:t xml:space="preserve"> </w:t>
      </w:r>
      <w:proofErr w:type="spellStart"/>
      <w:r w:rsidR="00AB39F1">
        <w:rPr>
          <w:rFonts w:eastAsia="Calibri"/>
          <w:sz w:val="22"/>
          <w:szCs w:val="22"/>
        </w:rPr>
        <w:t>AuEq</w:t>
      </w:r>
      <w:proofErr w:type="spellEnd"/>
      <w:r w:rsidR="00AB39F1">
        <w:rPr>
          <w:rFonts w:eastAsia="Calibri"/>
          <w:sz w:val="22"/>
          <w:szCs w:val="22"/>
        </w:rPr>
        <w:t xml:space="preserve"> ounces</w:t>
      </w:r>
      <w:r w:rsidR="00B21F51">
        <w:rPr>
          <w:rFonts w:eastAsia="Calibri"/>
          <w:sz w:val="22"/>
          <w:szCs w:val="22"/>
        </w:rPr>
        <w:t xml:space="preserve">.  </w:t>
      </w:r>
      <w:r w:rsidR="00225D6E">
        <w:rPr>
          <w:rFonts w:eastAsia="Calibri"/>
          <w:sz w:val="22"/>
          <w:szCs w:val="22"/>
        </w:rPr>
        <w:t xml:space="preserve">This </w:t>
      </w:r>
      <w:r w:rsidR="00B60855">
        <w:rPr>
          <w:rFonts w:eastAsia="Calibri"/>
          <w:sz w:val="22"/>
          <w:szCs w:val="22"/>
        </w:rPr>
        <w:t xml:space="preserve">represents </w:t>
      </w:r>
      <w:r w:rsidR="00142638">
        <w:rPr>
          <w:rFonts w:eastAsia="Calibri"/>
          <w:sz w:val="22"/>
          <w:szCs w:val="22"/>
        </w:rPr>
        <w:t xml:space="preserve">nearly </w:t>
      </w:r>
      <w:r w:rsidR="00B60855">
        <w:rPr>
          <w:rFonts w:eastAsia="Calibri"/>
          <w:sz w:val="22"/>
          <w:szCs w:val="22"/>
        </w:rPr>
        <w:t>a</w:t>
      </w:r>
      <w:r w:rsidR="00225D6E">
        <w:rPr>
          <w:rFonts w:eastAsia="Calibri"/>
          <w:sz w:val="22"/>
          <w:szCs w:val="22"/>
        </w:rPr>
        <w:t xml:space="preserve"> 2</w:t>
      </w:r>
      <w:r w:rsidR="00142638">
        <w:rPr>
          <w:rFonts w:eastAsia="Calibri"/>
          <w:sz w:val="22"/>
          <w:szCs w:val="22"/>
        </w:rPr>
        <w:t>9</w:t>
      </w:r>
      <w:r w:rsidR="00225D6E">
        <w:rPr>
          <w:rFonts w:eastAsia="Calibri"/>
          <w:sz w:val="22"/>
          <w:szCs w:val="22"/>
        </w:rPr>
        <w:t xml:space="preserve">% increase in previously reported in-pit </w:t>
      </w:r>
      <w:r w:rsidR="00F732F1">
        <w:rPr>
          <w:rFonts w:eastAsia="Calibri"/>
          <w:sz w:val="22"/>
          <w:szCs w:val="22"/>
        </w:rPr>
        <w:t>M</w:t>
      </w:r>
      <w:r w:rsidR="00225D6E">
        <w:rPr>
          <w:rFonts w:eastAsia="Calibri"/>
          <w:sz w:val="22"/>
          <w:szCs w:val="22"/>
        </w:rPr>
        <w:t xml:space="preserve">easured and </w:t>
      </w:r>
      <w:r w:rsidR="00F732F1">
        <w:rPr>
          <w:rFonts w:eastAsia="Calibri"/>
          <w:sz w:val="22"/>
          <w:szCs w:val="22"/>
        </w:rPr>
        <w:t>I</w:t>
      </w:r>
      <w:r w:rsidR="00225D6E">
        <w:rPr>
          <w:rFonts w:eastAsia="Calibri"/>
          <w:sz w:val="22"/>
          <w:szCs w:val="22"/>
        </w:rPr>
        <w:t xml:space="preserve">ndicated </w:t>
      </w:r>
      <w:r w:rsidR="00F732F1">
        <w:rPr>
          <w:rFonts w:eastAsia="Calibri"/>
          <w:sz w:val="22"/>
          <w:szCs w:val="22"/>
        </w:rPr>
        <w:t>R</w:t>
      </w:r>
      <w:r w:rsidR="00225D6E">
        <w:rPr>
          <w:rFonts w:eastAsia="Calibri"/>
          <w:sz w:val="22"/>
          <w:szCs w:val="22"/>
        </w:rPr>
        <w:t>esources for the Mt. Hamilton project</w:t>
      </w:r>
      <w:r w:rsidR="00E57FDB">
        <w:rPr>
          <w:rFonts w:eastAsia="Calibri"/>
          <w:sz w:val="22"/>
          <w:szCs w:val="22"/>
        </w:rPr>
        <w:t xml:space="preserve"> and </w:t>
      </w:r>
      <w:r w:rsidR="0082556D">
        <w:rPr>
          <w:rFonts w:eastAsia="Calibri"/>
          <w:sz w:val="22"/>
          <w:szCs w:val="22"/>
        </w:rPr>
        <w:t>a 1</w:t>
      </w:r>
      <w:r w:rsidR="00142638">
        <w:rPr>
          <w:rFonts w:eastAsia="Calibri"/>
          <w:sz w:val="22"/>
          <w:szCs w:val="22"/>
        </w:rPr>
        <w:t>34</w:t>
      </w:r>
      <w:r w:rsidR="0082556D">
        <w:rPr>
          <w:rFonts w:eastAsia="Calibri"/>
          <w:sz w:val="22"/>
          <w:szCs w:val="22"/>
        </w:rPr>
        <w:t xml:space="preserve">% increase in Inferred Resources.  </w:t>
      </w:r>
      <w:r w:rsidR="00B21F51">
        <w:rPr>
          <w:rFonts w:eastAsia="Calibri"/>
          <w:sz w:val="22"/>
          <w:szCs w:val="22"/>
        </w:rPr>
        <w:t xml:space="preserve">The table below provides greater detail to the recently completed Seligman </w:t>
      </w:r>
      <w:r w:rsidR="0082556D">
        <w:rPr>
          <w:rFonts w:eastAsia="Calibri"/>
          <w:sz w:val="22"/>
          <w:szCs w:val="22"/>
        </w:rPr>
        <w:t xml:space="preserve">in-pit </w:t>
      </w:r>
      <w:r w:rsidR="00B21F51">
        <w:rPr>
          <w:rFonts w:eastAsia="Calibri"/>
          <w:sz w:val="22"/>
          <w:szCs w:val="22"/>
        </w:rPr>
        <w:t>resource estimate.</w:t>
      </w:r>
      <w:r w:rsidR="000C3ED9">
        <w:rPr>
          <w:rFonts w:eastAsia="Calibri"/>
          <w:sz w:val="22"/>
          <w:szCs w:val="22"/>
        </w:rPr>
        <w:t xml:space="preserve">  </w:t>
      </w:r>
    </w:p>
    <w:p w:rsidR="00B21F51" w:rsidRDefault="00B21F51" w:rsidP="002752E5">
      <w:pPr>
        <w:rPr>
          <w:rFonts w:eastAsia="Calibri"/>
          <w:sz w:val="22"/>
          <w:szCs w:val="22"/>
        </w:rPr>
      </w:pPr>
    </w:p>
    <w:p w:rsidR="00CE13C9" w:rsidRDefault="00D12E29" w:rsidP="00CE13C9">
      <w:pPr>
        <w:pStyle w:val="TableTitle"/>
        <w:spacing w:before="0" w:after="0"/>
        <w:ind w:hanging="655"/>
        <w:jc w:val="center"/>
        <w:rPr>
          <w:rFonts w:ascii="Times New Roman" w:hAnsi="Times New Roman"/>
          <w:sz w:val="24"/>
          <w:szCs w:val="24"/>
        </w:rPr>
      </w:pPr>
      <w:r w:rsidRPr="00D12E29">
        <w:rPr>
          <w:rFonts w:ascii="Times New Roman" w:hAnsi="Times New Roman"/>
          <w:sz w:val="24"/>
          <w:szCs w:val="24"/>
        </w:rPr>
        <w:t>Mineral Resource Statement</w:t>
      </w:r>
      <w:r>
        <w:rPr>
          <w:rFonts w:ascii="Times New Roman" w:hAnsi="Times New Roman"/>
          <w:sz w:val="24"/>
          <w:szCs w:val="24"/>
        </w:rPr>
        <w:t xml:space="preserve">, </w:t>
      </w:r>
      <w:r w:rsidR="00433D62">
        <w:rPr>
          <w:rFonts w:ascii="Times New Roman" w:hAnsi="Times New Roman"/>
          <w:sz w:val="24"/>
          <w:szCs w:val="24"/>
        </w:rPr>
        <w:t>Seligman</w:t>
      </w:r>
      <w:r w:rsidR="00CE13C9" w:rsidRPr="00924E55">
        <w:rPr>
          <w:rFonts w:ascii="Times New Roman" w:hAnsi="Times New Roman"/>
          <w:sz w:val="24"/>
          <w:szCs w:val="24"/>
        </w:rPr>
        <w:t xml:space="preserve"> Gold-Silver Deposit,</w:t>
      </w:r>
    </w:p>
    <w:p w:rsidR="008A0FA0" w:rsidRPr="008A0FA0" w:rsidRDefault="00CE13C9" w:rsidP="008A0FA0">
      <w:pPr>
        <w:pStyle w:val="TableTitle"/>
        <w:spacing w:before="0" w:after="0"/>
        <w:ind w:hanging="655"/>
        <w:jc w:val="center"/>
        <w:rPr>
          <w:rFonts w:ascii="Times New Roman" w:hAnsi="Times New Roman"/>
          <w:sz w:val="24"/>
          <w:szCs w:val="24"/>
          <w:u w:val="single"/>
        </w:rPr>
      </w:pPr>
      <w:r w:rsidRPr="008A0FA0">
        <w:rPr>
          <w:rFonts w:ascii="Times New Roman" w:hAnsi="Times New Roman"/>
          <w:sz w:val="24"/>
          <w:szCs w:val="24"/>
          <w:u w:val="single"/>
        </w:rPr>
        <w:t>White Pine County, Nevada</w:t>
      </w:r>
      <w:r w:rsidR="00917A70">
        <w:rPr>
          <w:rFonts w:ascii="Times New Roman" w:hAnsi="Times New Roman"/>
          <w:sz w:val="24"/>
          <w:szCs w:val="24"/>
          <w:u w:val="single"/>
        </w:rPr>
        <w:t>, Ju</w:t>
      </w:r>
      <w:r w:rsidR="00DB1993">
        <w:rPr>
          <w:rFonts w:ascii="Times New Roman" w:hAnsi="Times New Roman"/>
          <w:sz w:val="24"/>
          <w:szCs w:val="24"/>
          <w:u w:val="single"/>
        </w:rPr>
        <w:t>ly</w:t>
      </w:r>
      <w:r w:rsidR="00917A70">
        <w:rPr>
          <w:rFonts w:ascii="Times New Roman" w:hAnsi="Times New Roman"/>
          <w:sz w:val="24"/>
          <w:szCs w:val="24"/>
          <w:u w:val="single"/>
        </w:rPr>
        <w:t xml:space="preserve"> </w:t>
      </w:r>
      <w:r w:rsidR="00DB1993">
        <w:rPr>
          <w:rFonts w:ascii="Times New Roman" w:hAnsi="Times New Roman"/>
          <w:sz w:val="24"/>
          <w:szCs w:val="24"/>
          <w:u w:val="single"/>
        </w:rPr>
        <w:t>31</w:t>
      </w:r>
      <w:r w:rsidR="00917A70">
        <w:rPr>
          <w:rFonts w:ascii="Times New Roman" w:hAnsi="Times New Roman"/>
          <w:sz w:val="24"/>
          <w:szCs w:val="24"/>
          <w:u w:val="single"/>
        </w:rPr>
        <w:t>, 2012</w:t>
      </w:r>
    </w:p>
    <w:tbl>
      <w:tblPr>
        <w:tblpPr w:leftFromText="180" w:rightFromText="180" w:vertAnchor="text" w:horzAnchor="margin" w:tblpX="-144" w:tblpY="3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900"/>
        <w:gridCol w:w="810"/>
        <w:gridCol w:w="900"/>
        <w:gridCol w:w="810"/>
        <w:gridCol w:w="900"/>
        <w:gridCol w:w="900"/>
        <w:gridCol w:w="810"/>
        <w:gridCol w:w="810"/>
        <w:gridCol w:w="900"/>
      </w:tblGrid>
      <w:tr w:rsidR="002F102E" w:rsidRPr="00627086" w:rsidTr="002F102E">
        <w:trPr>
          <w:trHeight w:val="377"/>
        </w:trPr>
        <w:tc>
          <w:tcPr>
            <w:tcW w:w="1008" w:type="dxa"/>
            <w:vMerge w:val="restart"/>
          </w:tcPr>
          <w:p w:rsidR="00AD503E" w:rsidRPr="00AD503E" w:rsidRDefault="00AD503E" w:rsidP="002F102E">
            <w:pPr>
              <w:jc w:val="center"/>
              <w:rPr>
                <w:b/>
                <w:sz w:val="18"/>
                <w:szCs w:val="18"/>
              </w:rPr>
            </w:pPr>
            <w:r w:rsidRPr="00AD503E">
              <w:rPr>
                <w:b/>
                <w:sz w:val="18"/>
                <w:szCs w:val="18"/>
              </w:rPr>
              <w:t>Resource Category</w:t>
            </w:r>
          </w:p>
        </w:tc>
        <w:tc>
          <w:tcPr>
            <w:tcW w:w="900" w:type="dxa"/>
            <w:vMerge w:val="restart"/>
          </w:tcPr>
          <w:p w:rsidR="00AD503E" w:rsidRPr="00690E33" w:rsidRDefault="00AD503E" w:rsidP="002F102E">
            <w:pPr>
              <w:jc w:val="center"/>
              <w:rPr>
                <w:b/>
                <w:sz w:val="18"/>
                <w:szCs w:val="18"/>
              </w:rPr>
            </w:pPr>
            <w:r w:rsidRPr="00690E33">
              <w:rPr>
                <w:b/>
                <w:sz w:val="18"/>
                <w:szCs w:val="18"/>
              </w:rPr>
              <w:t>Tons</w:t>
            </w:r>
          </w:p>
          <w:p w:rsidR="00AD503E" w:rsidRPr="00690E33" w:rsidRDefault="00AD503E" w:rsidP="002F102E">
            <w:pPr>
              <w:jc w:val="center"/>
              <w:rPr>
                <w:b/>
                <w:sz w:val="18"/>
                <w:szCs w:val="18"/>
              </w:rPr>
            </w:pPr>
            <w:r w:rsidRPr="00690E33">
              <w:rPr>
                <w:b/>
                <w:sz w:val="18"/>
                <w:szCs w:val="18"/>
              </w:rPr>
              <w:t>millions</w:t>
            </w:r>
          </w:p>
        </w:tc>
        <w:tc>
          <w:tcPr>
            <w:tcW w:w="1710" w:type="dxa"/>
            <w:gridSpan w:val="2"/>
          </w:tcPr>
          <w:p w:rsidR="00AD503E" w:rsidRPr="00690E33" w:rsidRDefault="00AD503E" w:rsidP="002F102E">
            <w:pPr>
              <w:jc w:val="center"/>
              <w:rPr>
                <w:b/>
                <w:sz w:val="18"/>
                <w:szCs w:val="18"/>
              </w:rPr>
            </w:pPr>
            <w:r w:rsidRPr="00690E33">
              <w:rPr>
                <w:b/>
                <w:sz w:val="18"/>
                <w:szCs w:val="18"/>
              </w:rPr>
              <w:t>Gold Grade</w:t>
            </w:r>
          </w:p>
        </w:tc>
        <w:tc>
          <w:tcPr>
            <w:tcW w:w="1710" w:type="dxa"/>
            <w:gridSpan w:val="2"/>
          </w:tcPr>
          <w:p w:rsidR="00AD503E" w:rsidRPr="00690E33" w:rsidRDefault="00AD503E" w:rsidP="002F102E">
            <w:pPr>
              <w:jc w:val="center"/>
              <w:rPr>
                <w:b/>
                <w:sz w:val="18"/>
                <w:szCs w:val="18"/>
              </w:rPr>
            </w:pPr>
            <w:r w:rsidRPr="00690E33">
              <w:rPr>
                <w:b/>
                <w:sz w:val="18"/>
                <w:szCs w:val="18"/>
              </w:rPr>
              <w:t>Silver Grade*</w:t>
            </w:r>
          </w:p>
        </w:tc>
        <w:tc>
          <w:tcPr>
            <w:tcW w:w="900" w:type="dxa"/>
          </w:tcPr>
          <w:p w:rsidR="00AD503E" w:rsidRPr="00690E33" w:rsidRDefault="00AD503E" w:rsidP="002F102E">
            <w:pPr>
              <w:jc w:val="center"/>
              <w:rPr>
                <w:b/>
                <w:sz w:val="18"/>
                <w:szCs w:val="18"/>
              </w:rPr>
            </w:pPr>
            <w:proofErr w:type="spellStart"/>
            <w:r w:rsidRPr="00690E33">
              <w:rPr>
                <w:b/>
                <w:sz w:val="18"/>
                <w:szCs w:val="18"/>
              </w:rPr>
              <w:t>AuEq</w:t>
            </w:r>
            <w:proofErr w:type="spellEnd"/>
          </w:p>
        </w:tc>
        <w:tc>
          <w:tcPr>
            <w:tcW w:w="2520" w:type="dxa"/>
            <w:gridSpan w:val="3"/>
          </w:tcPr>
          <w:p w:rsidR="00AD503E" w:rsidRPr="00690E33" w:rsidRDefault="00AD503E" w:rsidP="002F102E">
            <w:pPr>
              <w:jc w:val="center"/>
              <w:rPr>
                <w:b/>
                <w:sz w:val="18"/>
                <w:szCs w:val="18"/>
              </w:rPr>
            </w:pPr>
            <w:r w:rsidRPr="00690E33">
              <w:rPr>
                <w:b/>
                <w:sz w:val="18"/>
                <w:szCs w:val="18"/>
              </w:rPr>
              <w:t>Contained Ounces</w:t>
            </w:r>
          </w:p>
        </w:tc>
      </w:tr>
      <w:tr w:rsidR="002F102E" w:rsidRPr="00627086" w:rsidTr="002F102E">
        <w:trPr>
          <w:trHeight w:val="376"/>
        </w:trPr>
        <w:tc>
          <w:tcPr>
            <w:tcW w:w="1008" w:type="dxa"/>
            <w:vMerge/>
          </w:tcPr>
          <w:p w:rsidR="00AD503E" w:rsidRPr="00690E33" w:rsidRDefault="00AD503E" w:rsidP="002F102E">
            <w:pPr>
              <w:jc w:val="center"/>
              <w:rPr>
                <w:b/>
                <w:sz w:val="18"/>
                <w:szCs w:val="18"/>
              </w:rPr>
            </w:pPr>
          </w:p>
        </w:tc>
        <w:tc>
          <w:tcPr>
            <w:tcW w:w="900" w:type="dxa"/>
            <w:vMerge/>
          </w:tcPr>
          <w:p w:rsidR="00AD503E" w:rsidRPr="00690E33" w:rsidRDefault="00AD503E" w:rsidP="002F102E">
            <w:pPr>
              <w:jc w:val="center"/>
              <w:rPr>
                <w:b/>
                <w:sz w:val="18"/>
                <w:szCs w:val="18"/>
              </w:rPr>
            </w:pPr>
          </w:p>
        </w:tc>
        <w:tc>
          <w:tcPr>
            <w:tcW w:w="810" w:type="dxa"/>
          </w:tcPr>
          <w:p w:rsidR="00AD503E" w:rsidRPr="00690E33" w:rsidRDefault="00AD503E" w:rsidP="002F102E">
            <w:pPr>
              <w:jc w:val="center"/>
              <w:rPr>
                <w:b/>
                <w:sz w:val="18"/>
                <w:szCs w:val="18"/>
              </w:rPr>
            </w:pPr>
            <w:r w:rsidRPr="00690E33">
              <w:rPr>
                <w:b/>
                <w:sz w:val="18"/>
                <w:szCs w:val="18"/>
              </w:rPr>
              <w:t>Oz/Ton</w:t>
            </w:r>
          </w:p>
        </w:tc>
        <w:tc>
          <w:tcPr>
            <w:tcW w:w="900" w:type="dxa"/>
          </w:tcPr>
          <w:p w:rsidR="00AD503E" w:rsidRPr="00690E33" w:rsidRDefault="00AD503E" w:rsidP="002F102E">
            <w:pPr>
              <w:jc w:val="center"/>
              <w:rPr>
                <w:b/>
                <w:sz w:val="18"/>
                <w:szCs w:val="18"/>
              </w:rPr>
            </w:pPr>
            <w:r w:rsidRPr="00690E33">
              <w:rPr>
                <w:b/>
                <w:sz w:val="18"/>
                <w:szCs w:val="18"/>
              </w:rPr>
              <w:t>g/</w:t>
            </w:r>
            <w:proofErr w:type="spellStart"/>
            <w:r w:rsidRPr="00690E33">
              <w:rPr>
                <w:b/>
                <w:sz w:val="18"/>
                <w:szCs w:val="18"/>
              </w:rPr>
              <w:t>Tonne</w:t>
            </w:r>
            <w:proofErr w:type="spellEnd"/>
          </w:p>
        </w:tc>
        <w:tc>
          <w:tcPr>
            <w:tcW w:w="810" w:type="dxa"/>
          </w:tcPr>
          <w:p w:rsidR="00AD503E" w:rsidRPr="00690E33" w:rsidRDefault="00AD503E" w:rsidP="002F102E">
            <w:pPr>
              <w:jc w:val="center"/>
              <w:rPr>
                <w:b/>
                <w:sz w:val="18"/>
                <w:szCs w:val="18"/>
              </w:rPr>
            </w:pPr>
            <w:r w:rsidRPr="00690E33">
              <w:rPr>
                <w:b/>
                <w:sz w:val="18"/>
                <w:szCs w:val="18"/>
              </w:rPr>
              <w:t>Oz/Ton</w:t>
            </w:r>
          </w:p>
        </w:tc>
        <w:tc>
          <w:tcPr>
            <w:tcW w:w="900" w:type="dxa"/>
          </w:tcPr>
          <w:p w:rsidR="00AD503E" w:rsidRPr="00690E33" w:rsidRDefault="00AD503E" w:rsidP="002F102E">
            <w:pPr>
              <w:jc w:val="center"/>
              <w:rPr>
                <w:b/>
                <w:sz w:val="18"/>
                <w:szCs w:val="18"/>
              </w:rPr>
            </w:pPr>
            <w:r w:rsidRPr="00690E33">
              <w:rPr>
                <w:b/>
                <w:sz w:val="18"/>
                <w:szCs w:val="18"/>
              </w:rPr>
              <w:t>g/</w:t>
            </w:r>
            <w:proofErr w:type="spellStart"/>
            <w:r w:rsidRPr="00690E33">
              <w:rPr>
                <w:b/>
                <w:sz w:val="18"/>
                <w:szCs w:val="18"/>
              </w:rPr>
              <w:t>Tonne</w:t>
            </w:r>
            <w:proofErr w:type="spellEnd"/>
          </w:p>
        </w:tc>
        <w:tc>
          <w:tcPr>
            <w:tcW w:w="900" w:type="dxa"/>
          </w:tcPr>
          <w:p w:rsidR="00AD503E" w:rsidRPr="00690E33" w:rsidRDefault="00AD503E" w:rsidP="002F102E">
            <w:pPr>
              <w:jc w:val="center"/>
              <w:rPr>
                <w:b/>
                <w:sz w:val="18"/>
                <w:szCs w:val="18"/>
              </w:rPr>
            </w:pPr>
            <w:r w:rsidRPr="00690E33">
              <w:rPr>
                <w:b/>
                <w:sz w:val="18"/>
                <w:szCs w:val="18"/>
              </w:rPr>
              <w:t>Oz/ Ton</w:t>
            </w:r>
          </w:p>
        </w:tc>
        <w:tc>
          <w:tcPr>
            <w:tcW w:w="810" w:type="dxa"/>
          </w:tcPr>
          <w:p w:rsidR="00AD503E" w:rsidRPr="00690E33" w:rsidRDefault="00AD503E" w:rsidP="002F102E">
            <w:pPr>
              <w:jc w:val="center"/>
              <w:rPr>
                <w:b/>
                <w:sz w:val="18"/>
                <w:szCs w:val="18"/>
              </w:rPr>
            </w:pPr>
            <w:r w:rsidRPr="00690E33">
              <w:rPr>
                <w:b/>
                <w:sz w:val="18"/>
                <w:szCs w:val="18"/>
              </w:rPr>
              <w:t>Gold</w:t>
            </w:r>
          </w:p>
        </w:tc>
        <w:tc>
          <w:tcPr>
            <w:tcW w:w="810" w:type="dxa"/>
          </w:tcPr>
          <w:p w:rsidR="00AD503E" w:rsidRPr="00690E33" w:rsidRDefault="00AD503E" w:rsidP="002F102E">
            <w:pPr>
              <w:jc w:val="center"/>
              <w:rPr>
                <w:b/>
                <w:sz w:val="18"/>
                <w:szCs w:val="18"/>
              </w:rPr>
            </w:pPr>
            <w:r w:rsidRPr="00690E33">
              <w:rPr>
                <w:b/>
                <w:sz w:val="18"/>
                <w:szCs w:val="18"/>
              </w:rPr>
              <w:t>Silver</w:t>
            </w:r>
          </w:p>
        </w:tc>
        <w:tc>
          <w:tcPr>
            <w:tcW w:w="900" w:type="dxa"/>
          </w:tcPr>
          <w:p w:rsidR="00AD503E" w:rsidRPr="00690E33" w:rsidRDefault="00AD503E" w:rsidP="002F102E">
            <w:pPr>
              <w:jc w:val="center"/>
              <w:rPr>
                <w:b/>
                <w:sz w:val="18"/>
                <w:szCs w:val="18"/>
              </w:rPr>
            </w:pPr>
            <w:proofErr w:type="spellStart"/>
            <w:r w:rsidRPr="00690E33">
              <w:rPr>
                <w:b/>
                <w:sz w:val="18"/>
                <w:szCs w:val="18"/>
              </w:rPr>
              <w:t>AuEq</w:t>
            </w:r>
            <w:proofErr w:type="spellEnd"/>
          </w:p>
        </w:tc>
      </w:tr>
      <w:tr w:rsidR="002F102E" w:rsidRPr="00627086" w:rsidTr="002F102E">
        <w:trPr>
          <w:trHeight w:val="345"/>
        </w:trPr>
        <w:tc>
          <w:tcPr>
            <w:tcW w:w="1008" w:type="dxa"/>
          </w:tcPr>
          <w:p w:rsidR="00AD503E" w:rsidRPr="00690E33" w:rsidRDefault="00AD503E" w:rsidP="002F102E">
            <w:pPr>
              <w:jc w:val="both"/>
              <w:rPr>
                <w:sz w:val="18"/>
                <w:szCs w:val="18"/>
              </w:rPr>
            </w:pPr>
            <w:r w:rsidRPr="00690E33">
              <w:rPr>
                <w:sz w:val="18"/>
                <w:szCs w:val="18"/>
              </w:rPr>
              <w:t>Indicated</w:t>
            </w:r>
          </w:p>
        </w:tc>
        <w:tc>
          <w:tcPr>
            <w:tcW w:w="900" w:type="dxa"/>
          </w:tcPr>
          <w:p w:rsidR="00AD503E" w:rsidRPr="00690E33" w:rsidRDefault="00AD503E" w:rsidP="002F102E">
            <w:pPr>
              <w:jc w:val="center"/>
              <w:rPr>
                <w:sz w:val="18"/>
                <w:szCs w:val="18"/>
              </w:rPr>
            </w:pPr>
            <w:r w:rsidRPr="00690E33">
              <w:rPr>
                <w:sz w:val="18"/>
                <w:szCs w:val="18"/>
              </w:rPr>
              <w:t>6.96</w:t>
            </w:r>
          </w:p>
        </w:tc>
        <w:tc>
          <w:tcPr>
            <w:tcW w:w="810" w:type="dxa"/>
          </w:tcPr>
          <w:p w:rsidR="00AD503E" w:rsidRPr="00690E33" w:rsidRDefault="00AD503E" w:rsidP="002F102E">
            <w:pPr>
              <w:jc w:val="center"/>
              <w:rPr>
                <w:sz w:val="18"/>
                <w:szCs w:val="18"/>
              </w:rPr>
            </w:pPr>
            <w:r w:rsidRPr="00690E33">
              <w:rPr>
                <w:sz w:val="18"/>
                <w:szCs w:val="18"/>
              </w:rPr>
              <w:t>0.022</w:t>
            </w:r>
          </w:p>
        </w:tc>
        <w:tc>
          <w:tcPr>
            <w:tcW w:w="900" w:type="dxa"/>
          </w:tcPr>
          <w:p w:rsidR="00AD503E" w:rsidRPr="00690E33" w:rsidRDefault="00AD503E" w:rsidP="002F102E">
            <w:pPr>
              <w:jc w:val="center"/>
              <w:rPr>
                <w:sz w:val="18"/>
                <w:szCs w:val="18"/>
              </w:rPr>
            </w:pPr>
            <w:r w:rsidRPr="00690E33">
              <w:rPr>
                <w:sz w:val="18"/>
                <w:szCs w:val="18"/>
              </w:rPr>
              <w:t>0.76</w:t>
            </w:r>
          </w:p>
        </w:tc>
        <w:tc>
          <w:tcPr>
            <w:tcW w:w="810" w:type="dxa"/>
          </w:tcPr>
          <w:p w:rsidR="00AD503E" w:rsidRPr="00690E33" w:rsidRDefault="00AD503E" w:rsidP="002F102E">
            <w:pPr>
              <w:jc w:val="center"/>
              <w:rPr>
                <w:sz w:val="18"/>
                <w:szCs w:val="18"/>
              </w:rPr>
            </w:pPr>
            <w:r w:rsidRPr="00690E33">
              <w:rPr>
                <w:sz w:val="18"/>
                <w:szCs w:val="18"/>
              </w:rPr>
              <w:t>0.097</w:t>
            </w:r>
          </w:p>
        </w:tc>
        <w:tc>
          <w:tcPr>
            <w:tcW w:w="900" w:type="dxa"/>
          </w:tcPr>
          <w:p w:rsidR="00AD503E" w:rsidRPr="00690E33" w:rsidRDefault="00AD503E" w:rsidP="002F102E">
            <w:pPr>
              <w:jc w:val="center"/>
              <w:rPr>
                <w:sz w:val="18"/>
                <w:szCs w:val="18"/>
              </w:rPr>
            </w:pPr>
            <w:r w:rsidRPr="00690E33">
              <w:rPr>
                <w:sz w:val="18"/>
                <w:szCs w:val="18"/>
              </w:rPr>
              <w:t>3.34</w:t>
            </w:r>
          </w:p>
        </w:tc>
        <w:tc>
          <w:tcPr>
            <w:tcW w:w="900" w:type="dxa"/>
          </w:tcPr>
          <w:p w:rsidR="00AD503E" w:rsidRPr="00690E33" w:rsidRDefault="009D1D8B" w:rsidP="002F102E">
            <w:pPr>
              <w:jc w:val="center"/>
              <w:rPr>
                <w:sz w:val="18"/>
                <w:szCs w:val="18"/>
              </w:rPr>
            </w:pPr>
            <w:r>
              <w:rPr>
                <w:sz w:val="18"/>
                <w:szCs w:val="18"/>
              </w:rPr>
              <w:t>0</w:t>
            </w:r>
            <w:r w:rsidR="00917A70">
              <w:rPr>
                <w:sz w:val="18"/>
                <w:szCs w:val="18"/>
              </w:rPr>
              <w:t>.024</w:t>
            </w:r>
          </w:p>
        </w:tc>
        <w:tc>
          <w:tcPr>
            <w:tcW w:w="810" w:type="dxa"/>
          </w:tcPr>
          <w:p w:rsidR="00AD503E" w:rsidRPr="00690E33" w:rsidRDefault="00AD503E" w:rsidP="002F102E">
            <w:pPr>
              <w:jc w:val="center"/>
              <w:rPr>
                <w:sz w:val="18"/>
                <w:szCs w:val="18"/>
              </w:rPr>
            </w:pPr>
            <w:r w:rsidRPr="00690E33">
              <w:rPr>
                <w:sz w:val="18"/>
                <w:szCs w:val="18"/>
              </w:rPr>
              <w:t>154,388</w:t>
            </w:r>
          </w:p>
        </w:tc>
        <w:tc>
          <w:tcPr>
            <w:tcW w:w="810" w:type="dxa"/>
          </w:tcPr>
          <w:p w:rsidR="00AD503E" w:rsidRPr="00690E33" w:rsidRDefault="00AD503E" w:rsidP="002F102E">
            <w:pPr>
              <w:rPr>
                <w:sz w:val="18"/>
                <w:szCs w:val="18"/>
              </w:rPr>
            </w:pPr>
            <w:r w:rsidRPr="00690E33">
              <w:rPr>
                <w:sz w:val="18"/>
                <w:szCs w:val="18"/>
              </w:rPr>
              <w:t>676,665</w:t>
            </w:r>
          </w:p>
        </w:tc>
        <w:tc>
          <w:tcPr>
            <w:tcW w:w="900" w:type="dxa"/>
          </w:tcPr>
          <w:p w:rsidR="00AD503E" w:rsidRPr="00690E33" w:rsidRDefault="007954BC" w:rsidP="007954BC">
            <w:pPr>
              <w:jc w:val="center"/>
              <w:rPr>
                <w:sz w:val="18"/>
                <w:szCs w:val="18"/>
              </w:rPr>
            </w:pPr>
            <w:r>
              <w:rPr>
                <w:sz w:val="18"/>
                <w:szCs w:val="18"/>
              </w:rPr>
              <w:t>166,691</w:t>
            </w:r>
          </w:p>
        </w:tc>
      </w:tr>
      <w:tr w:rsidR="002F102E" w:rsidRPr="00627086" w:rsidTr="002F102E">
        <w:trPr>
          <w:trHeight w:val="368"/>
        </w:trPr>
        <w:tc>
          <w:tcPr>
            <w:tcW w:w="1008" w:type="dxa"/>
          </w:tcPr>
          <w:p w:rsidR="00AD503E" w:rsidRPr="00690E33" w:rsidRDefault="00AD503E" w:rsidP="002F102E">
            <w:pPr>
              <w:jc w:val="both"/>
              <w:rPr>
                <w:sz w:val="18"/>
                <w:szCs w:val="18"/>
              </w:rPr>
            </w:pPr>
            <w:r w:rsidRPr="00690E33">
              <w:rPr>
                <w:sz w:val="18"/>
                <w:szCs w:val="18"/>
              </w:rPr>
              <w:t>Inferred</w:t>
            </w:r>
          </w:p>
        </w:tc>
        <w:tc>
          <w:tcPr>
            <w:tcW w:w="900" w:type="dxa"/>
          </w:tcPr>
          <w:p w:rsidR="00AD503E" w:rsidRPr="00690E33" w:rsidRDefault="00AD503E" w:rsidP="002F102E">
            <w:pPr>
              <w:jc w:val="center"/>
              <w:rPr>
                <w:sz w:val="18"/>
                <w:szCs w:val="18"/>
              </w:rPr>
            </w:pPr>
            <w:r w:rsidRPr="00690E33">
              <w:rPr>
                <w:sz w:val="18"/>
                <w:szCs w:val="18"/>
              </w:rPr>
              <w:t>3.77</w:t>
            </w:r>
          </w:p>
        </w:tc>
        <w:tc>
          <w:tcPr>
            <w:tcW w:w="810" w:type="dxa"/>
          </w:tcPr>
          <w:p w:rsidR="00AD503E" w:rsidRPr="00690E33" w:rsidRDefault="00AD503E" w:rsidP="002F102E">
            <w:pPr>
              <w:jc w:val="center"/>
              <w:rPr>
                <w:sz w:val="18"/>
                <w:szCs w:val="18"/>
              </w:rPr>
            </w:pPr>
            <w:r w:rsidRPr="00690E33">
              <w:rPr>
                <w:sz w:val="18"/>
                <w:szCs w:val="18"/>
              </w:rPr>
              <w:t>0.021</w:t>
            </w:r>
          </w:p>
        </w:tc>
        <w:tc>
          <w:tcPr>
            <w:tcW w:w="900" w:type="dxa"/>
          </w:tcPr>
          <w:p w:rsidR="00AD503E" w:rsidRPr="00690E33" w:rsidRDefault="00AD503E" w:rsidP="002F102E">
            <w:pPr>
              <w:jc w:val="center"/>
              <w:rPr>
                <w:sz w:val="18"/>
                <w:szCs w:val="18"/>
              </w:rPr>
            </w:pPr>
            <w:r w:rsidRPr="00690E33">
              <w:rPr>
                <w:sz w:val="18"/>
                <w:szCs w:val="18"/>
              </w:rPr>
              <w:t>0.71</w:t>
            </w:r>
          </w:p>
        </w:tc>
        <w:tc>
          <w:tcPr>
            <w:tcW w:w="810" w:type="dxa"/>
          </w:tcPr>
          <w:p w:rsidR="00AD503E" w:rsidRPr="00690E33" w:rsidRDefault="00AD503E" w:rsidP="002F102E">
            <w:pPr>
              <w:jc w:val="center"/>
              <w:rPr>
                <w:sz w:val="18"/>
                <w:szCs w:val="18"/>
              </w:rPr>
            </w:pPr>
            <w:r w:rsidRPr="00690E33">
              <w:rPr>
                <w:sz w:val="18"/>
                <w:szCs w:val="18"/>
              </w:rPr>
              <w:t>0.144</w:t>
            </w:r>
          </w:p>
        </w:tc>
        <w:tc>
          <w:tcPr>
            <w:tcW w:w="900" w:type="dxa"/>
          </w:tcPr>
          <w:p w:rsidR="00AD503E" w:rsidRPr="00690E33" w:rsidRDefault="00AD503E" w:rsidP="002F102E">
            <w:pPr>
              <w:jc w:val="center"/>
              <w:rPr>
                <w:sz w:val="18"/>
                <w:szCs w:val="18"/>
              </w:rPr>
            </w:pPr>
            <w:r w:rsidRPr="00690E33">
              <w:rPr>
                <w:sz w:val="18"/>
                <w:szCs w:val="18"/>
              </w:rPr>
              <w:t>4.94</w:t>
            </w:r>
          </w:p>
        </w:tc>
        <w:tc>
          <w:tcPr>
            <w:tcW w:w="900" w:type="dxa"/>
          </w:tcPr>
          <w:p w:rsidR="00AD503E" w:rsidRPr="00690E33" w:rsidRDefault="009D1D8B" w:rsidP="002F102E">
            <w:pPr>
              <w:jc w:val="center"/>
              <w:rPr>
                <w:sz w:val="18"/>
                <w:szCs w:val="18"/>
              </w:rPr>
            </w:pPr>
            <w:r>
              <w:rPr>
                <w:sz w:val="18"/>
                <w:szCs w:val="18"/>
              </w:rPr>
              <w:t>0</w:t>
            </w:r>
            <w:r w:rsidR="00917A70">
              <w:rPr>
                <w:sz w:val="18"/>
                <w:szCs w:val="18"/>
              </w:rPr>
              <w:t>.023</w:t>
            </w:r>
          </w:p>
        </w:tc>
        <w:tc>
          <w:tcPr>
            <w:tcW w:w="810" w:type="dxa"/>
          </w:tcPr>
          <w:p w:rsidR="00AD503E" w:rsidRPr="00690E33" w:rsidRDefault="00AD503E" w:rsidP="002F102E">
            <w:pPr>
              <w:jc w:val="center"/>
              <w:rPr>
                <w:sz w:val="18"/>
                <w:szCs w:val="18"/>
              </w:rPr>
            </w:pPr>
            <w:r w:rsidRPr="00690E33">
              <w:rPr>
                <w:sz w:val="18"/>
                <w:szCs w:val="18"/>
              </w:rPr>
              <w:t>78,044</w:t>
            </w:r>
          </w:p>
        </w:tc>
        <w:tc>
          <w:tcPr>
            <w:tcW w:w="810" w:type="dxa"/>
          </w:tcPr>
          <w:p w:rsidR="00AD503E" w:rsidRPr="00690E33" w:rsidRDefault="00AD503E" w:rsidP="002F102E">
            <w:pPr>
              <w:jc w:val="center"/>
              <w:rPr>
                <w:sz w:val="18"/>
                <w:szCs w:val="18"/>
              </w:rPr>
            </w:pPr>
            <w:r w:rsidRPr="00690E33">
              <w:rPr>
                <w:sz w:val="18"/>
                <w:szCs w:val="18"/>
              </w:rPr>
              <w:t>543,671</w:t>
            </w:r>
          </w:p>
        </w:tc>
        <w:tc>
          <w:tcPr>
            <w:tcW w:w="900" w:type="dxa"/>
          </w:tcPr>
          <w:p w:rsidR="00AD503E" w:rsidRPr="00690E33" w:rsidRDefault="007954BC" w:rsidP="007954BC">
            <w:pPr>
              <w:jc w:val="center"/>
              <w:rPr>
                <w:sz w:val="18"/>
                <w:szCs w:val="18"/>
              </w:rPr>
            </w:pPr>
            <w:r>
              <w:rPr>
                <w:sz w:val="18"/>
                <w:szCs w:val="18"/>
              </w:rPr>
              <w:t>87,929</w:t>
            </w:r>
          </w:p>
        </w:tc>
      </w:tr>
    </w:tbl>
    <w:p w:rsidR="008A0FA0" w:rsidRPr="008A0FA0" w:rsidRDefault="008A0FA0" w:rsidP="008A0FA0">
      <w:pPr>
        <w:pStyle w:val="BodyText"/>
        <w:spacing w:line="80" w:lineRule="exact"/>
      </w:pPr>
    </w:p>
    <w:p w:rsidR="00225D6E" w:rsidRPr="00924E55" w:rsidRDefault="00225D6E" w:rsidP="002F102E">
      <w:pPr>
        <w:pStyle w:val="SourceCaption"/>
        <w:numPr>
          <w:ilvl w:val="0"/>
          <w:numId w:val="4"/>
        </w:numPr>
        <w:ind w:right="90"/>
        <w:rPr>
          <w:rFonts w:ascii="Times New Roman" w:hAnsi="Times New Roman"/>
        </w:rPr>
      </w:pPr>
      <w:r w:rsidRPr="00924E55">
        <w:rPr>
          <w:rFonts w:ascii="Times New Roman" w:hAnsi="Times New Roman"/>
        </w:rPr>
        <w:t>Mineral Resources are not Mineral Reserves and do not have demonstrated economic viability.  There is no certainty that any part of the Mineral Resources estimated will be converted into Mineral Reserves estimate;</w:t>
      </w:r>
    </w:p>
    <w:p w:rsidR="00225D6E" w:rsidRPr="00924E55" w:rsidRDefault="00225D6E" w:rsidP="002F102E">
      <w:pPr>
        <w:pStyle w:val="SourceCaption"/>
        <w:numPr>
          <w:ilvl w:val="0"/>
          <w:numId w:val="4"/>
        </w:numPr>
        <w:ind w:right="90"/>
        <w:rPr>
          <w:rFonts w:ascii="Times New Roman" w:hAnsi="Times New Roman"/>
        </w:rPr>
      </w:pPr>
      <w:r w:rsidRPr="00924E55">
        <w:rPr>
          <w:rFonts w:ascii="Times New Roman" w:hAnsi="Times New Roman"/>
        </w:rPr>
        <w:t>Resources stated as contained within a potentially economically minable open pit</w:t>
      </w:r>
      <w:r w:rsidR="004A249C">
        <w:rPr>
          <w:rFonts w:ascii="Times New Roman" w:hAnsi="Times New Roman"/>
        </w:rPr>
        <w:t xml:space="preserve">; </w:t>
      </w:r>
    </w:p>
    <w:p w:rsidR="00225D6E" w:rsidRPr="009D1D8B" w:rsidRDefault="00225D6E" w:rsidP="002F102E">
      <w:pPr>
        <w:pStyle w:val="SourceCaption"/>
        <w:numPr>
          <w:ilvl w:val="0"/>
          <w:numId w:val="3"/>
        </w:numPr>
        <w:ind w:right="90"/>
        <w:rPr>
          <w:rFonts w:ascii="Times New Roman" w:hAnsi="Times New Roman"/>
        </w:rPr>
      </w:pPr>
      <w:r w:rsidRPr="00924E55">
        <w:rPr>
          <w:rFonts w:ascii="Times New Roman" w:hAnsi="Times New Roman"/>
        </w:rPr>
        <w:t xml:space="preserve">Pit optimization </w:t>
      </w:r>
      <w:r w:rsidR="00917A70">
        <w:rPr>
          <w:rFonts w:ascii="Times New Roman" w:hAnsi="Times New Roman"/>
        </w:rPr>
        <w:t>was</w:t>
      </w:r>
      <w:r w:rsidR="00917A70" w:rsidRPr="00924E55">
        <w:rPr>
          <w:rFonts w:ascii="Times New Roman" w:hAnsi="Times New Roman"/>
        </w:rPr>
        <w:t xml:space="preserve"> </w:t>
      </w:r>
      <w:r w:rsidRPr="00924E55">
        <w:rPr>
          <w:rFonts w:ascii="Times New Roman" w:hAnsi="Times New Roman"/>
        </w:rPr>
        <w:t xml:space="preserve">based on assumed </w:t>
      </w:r>
      <w:r>
        <w:rPr>
          <w:rFonts w:ascii="Times New Roman" w:hAnsi="Times New Roman"/>
        </w:rPr>
        <w:t>gold and silver prices of US$</w:t>
      </w:r>
      <w:r w:rsidR="00892C92">
        <w:rPr>
          <w:rFonts w:ascii="Times New Roman" w:hAnsi="Times New Roman"/>
        </w:rPr>
        <w:t>1,500</w:t>
      </w:r>
      <w:r w:rsidRPr="00924E55">
        <w:rPr>
          <w:rFonts w:ascii="Times New Roman" w:hAnsi="Times New Roman"/>
        </w:rPr>
        <w:t>/oz and US$</w:t>
      </w:r>
      <w:r w:rsidR="00892C92">
        <w:rPr>
          <w:rFonts w:ascii="Times New Roman" w:hAnsi="Times New Roman"/>
        </w:rPr>
        <w:t>20.00</w:t>
      </w:r>
      <w:r w:rsidRPr="00924E55">
        <w:rPr>
          <w:rFonts w:ascii="Times New Roman" w:hAnsi="Times New Roman"/>
        </w:rPr>
        <w:t>/oz, respectively,  effective heap leach recoveries of 7</w:t>
      </w:r>
      <w:r>
        <w:rPr>
          <w:rFonts w:ascii="Times New Roman" w:hAnsi="Times New Roman"/>
        </w:rPr>
        <w:t>0</w:t>
      </w:r>
      <w:r w:rsidRPr="00924E55">
        <w:rPr>
          <w:rFonts w:ascii="Times New Roman" w:hAnsi="Times New Roman"/>
        </w:rPr>
        <w:t xml:space="preserve">% </w:t>
      </w:r>
      <w:r w:rsidR="00892C92">
        <w:rPr>
          <w:rFonts w:ascii="Times New Roman" w:hAnsi="Times New Roman"/>
        </w:rPr>
        <w:t xml:space="preserve">for gold in </w:t>
      </w:r>
      <w:proofErr w:type="spellStart"/>
      <w:r w:rsidR="00892C92">
        <w:rPr>
          <w:rFonts w:ascii="Times New Roman" w:hAnsi="Times New Roman"/>
        </w:rPr>
        <w:t>skarn</w:t>
      </w:r>
      <w:proofErr w:type="spellEnd"/>
      <w:r w:rsidR="00892C92">
        <w:rPr>
          <w:rFonts w:ascii="Times New Roman" w:hAnsi="Times New Roman"/>
        </w:rPr>
        <w:t xml:space="preserve"> and 65% for gold in igneous, </w:t>
      </w:r>
      <w:r w:rsidRPr="00924E55">
        <w:rPr>
          <w:rFonts w:ascii="Times New Roman" w:hAnsi="Times New Roman"/>
        </w:rPr>
        <w:t>and 3</w:t>
      </w:r>
      <w:r>
        <w:rPr>
          <w:rFonts w:ascii="Times New Roman" w:hAnsi="Times New Roman"/>
        </w:rPr>
        <w:t>5</w:t>
      </w:r>
      <w:r w:rsidRPr="00924E55">
        <w:rPr>
          <w:rFonts w:ascii="Times New Roman" w:hAnsi="Times New Roman"/>
        </w:rPr>
        <w:t>% for silver</w:t>
      </w:r>
      <w:r w:rsidR="00892C92">
        <w:rPr>
          <w:rFonts w:ascii="Times New Roman" w:hAnsi="Times New Roman"/>
        </w:rPr>
        <w:t>, an ore</w:t>
      </w:r>
      <w:r w:rsidRPr="00924E55">
        <w:rPr>
          <w:rFonts w:ascii="Times New Roman" w:hAnsi="Times New Roman"/>
        </w:rPr>
        <w:t xml:space="preserve"> mining</w:t>
      </w:r>
      <w:r>
        <w:rPr>
          <w:rFonts w:ascii="Times New Roman" w:hAnsi="Times New Roman"/>
        </w:rPr>
        <w:t xml:space="preserve"> and</w:t>
      </w:r>
      <w:r w:rsidRPr="00924E55">
        <w:rPr>
          <w:rFonts w:ascii="Times New Roman" w:hAnsi="Times New Roman"/>
        </w:rPr>
        <w:t xml:space="preserve"> </w:t>
      </w:r>
      <w:r w:rsidR="00D12E29">
        <w:rPr>
          <w:rFonts w:ascii="Times New Roman" w:hAnsi="Times New Roman"/>
        </w:rPr>
        <w:t xml:space="preserve">a </w:t>
      </w:r>
      <w:r w:rsidRPr="00924E55">
        <w:rPr>
          <w:rFonts w:ascii="Times New Roman" w:hAnsi="Times New Roman"/>
        </w:rPr>
        <w:t>processing cost of US$</w:t>
      </w:r>
      <w:r w:rsidR="00892C92">
        <w:rPr>
          <w:rFonts w:ascii="Times New Roman" w:hAnsi="Times New Roman"/>
        </w:rPr>
        <w:t>6.45</w:t>
      </w:r>
      <w:r w:rsidRPr="00924E55">
        <w:rPr>
          <w:rFonts w:ascii="Times New Roman" w:hAnsi="Times New Roman"/>
        </w:rPr>
        <w:t xml:space="preserve">/t; and pit slopes of </w:t>
      </w:r>
      <w:r w:rsidR="00917A70">
        <w:rPr>
          <w:rFonts w:ascii="Times New Roman" w:hAnsi="Times New Roman"/>
        </w:rPr>
        <w:t>50</w:t>
      </w:r>
      <w:r w:rsidRPr="00924E55">
        <w:rPr>
          <w:rFonts w:ascii="Times New Roman" w:hAnsi="Times New Roman"/>
        </w:rPr>
        <w:t>°.</w:t>
      </w:r>
    </w:p>
    <w:p w:rsidR="00917A70" w:rsidRPr="00924E55" w:rsidRDefault="00917A70" w:rsidP="002F102E">
      <w:pPr>
        <w:pStyle w:val="SourceCaption"/>
        <w:numPr>
          <w:ilvl w:val="0"/>
          <w:numId w:val="3"/>
        </w:numPr>
        <w:ind w:right="90"/>
        <w:rPr>
          <w:rFonts w:ascii="Times New Roman" w:hAnsi="Times New Roman"/>
        </w:rPr>
      </w:pPr>
      <w:r>
        <w:rPr>
          <w:rFonts w:ascii="Times New Roman" w:hAnsi="Times New Roman"/>
        </w:rPr>
        <w:t>Gold Equivalent (</w:t>
      </w:r>
      <w:proofErr w:type="spellStart"/>
      <w:r>
        <w:rPr>
          <w:rFonts w:ascii="Times New Roman" w:hAnsi="Times New Roman"/>
        </w:rPr>
        <w:t>AuEq</w:t>
      </w:r>
      <w:proofErr w:type="spellEnd"/>
      <w:r>
        <w:rPr>
          <w:rFonts w:ascii="Times New Roman" w:hAnsi="Times New Roman"/>
        </w:rPr>
        <w:t xml:space="preserve">) was calculated using a </w:t>
      </w:r>
      <w:proofErr w:type="spellStart"/>
      <w:r>
        <w:rPr>
          <w:rFonts w:ascii="Times New Roman" w:hAnsi="Times New Roman"/>
        </w:rPr>
        <w:t>Ag:Au</w:t>
      </w:r>
      <w:proofErr w:type="spellEnd"/>
      <w:r>
        <w:rPr>
          <w:rFonts w:ascii="Times New Roman" w:hAnsi="Times New Roman"/>
        </w:rPr>
        <w:t xml:space="preserve"> ratio of 5</w:t>
      </w:r>
      <w:r w:rsidR="007954BC">
        <w:rPr>
          <w:rFonts w:ascii="Times New Roman" w:hAnsi="Times New Roman"/>
        </w:rPr>
        <w:t>5</w:t>
      </w:r>
      <w:r>
        <w:rPr>
          <w:rFonts w:ascii="Times New Roman" w:hAnsi="Times New Roman"/>
        </w:rPr>
        <w:t>:1</w:t>
      </w:r>
      <w:r w:rsidR="00FD1538">
        <w:rPr>
          <w:rFonts w:ascii="Times New Roman" w:hAnsi="Times New Roman"/>
        </w:rPr>
        <w:t xml:space="preserve"> ($1600/</w:t>
      </w:r>
      <w:proofErr w:type="spellStart"/>
      <w:r w:rsidR="00FD1538">
        <w:rPr>
          <w:rFonts w:ascii="Times New Roman" w:hAnsi="Times New Roman"/>
        </w:rPr>
        <w:t>ozAu</w:t>
      </w:r>
      <w:proofErr w:type="spellEnd"/>
      <w:r w:rsidR="00FD1538">
        <w:rPr>
          <w:rFonts w:ascii="Times New Roman" w:hAnsi="Times New Roman"/>
        </w:rPr>
        <w:t>/$29/</w:t>
      </w:r>
      <w:proofErr w:type="spellStart"/>
      <w:r w:rsidR="00FD1538">
        <w:rPr>
          <w:rFonts w:ascii="Times New Roman" w:hAnsi="Times New Roman"/>
        </w:rPr>
        <w:t>ozAg</w:t>
      </w:r>
      <w:proofErr w:type="spellEnd"/>
      <w:r w:rsidR="00FD1538">
        <w:rPr>
          <w:rFonts w:ascii="Times New Roman" w:hAnsi="Times New Roman"/>
        </w:rPr>
        <w:t>); and</w:t>
      </w:r>
    </w:p>
    <w:p w:rsidR="00225D6E" w:rsidRPr="0062014C" w:rsidRDefault="00432677" w:rsidP="002F102E">
      <w:pPr>
        <w:pStyle w:val="SourceCaption"/>
        <w:numPr>
          <w:ilvl w:val="0"/>
          <w:numId w:val="3"/>
        </w:numPr>
        <w:ind w:right="90"/>
        <w:rPr>
          <w:rFonts w:ascii="Times New Roman" w:hAnsi="Times New Roman"/>
        </w:rPr>
      </w:pPr>
      <w:r>
        <w:rPr>
          <w:rFonts w:ascii="Times New Roman" w:hAnsi="Times New Roman"/>
        </w:rPr>
        <w:t>Numbers in the table</w:t>
      </w:r>
      <w:r w:rsidR="00225D6E" w:rsidRPr="00924E55">
        <w:rPr>
          <w:rFonts w:ascii="Times New Roman" w:hAnsi="Times New Roman"/>
        </w:rPr>
        <w:t xml:space="preserve"> have been rounded to reflect the accuracy of the estimate and may not add due to rounding.</w:t>
      </w:r>
    </w:p>
    <w:p w:rsidR="0062014C" w:rsidRPr="00924E55" w:rsidRDefault="0062014C" w:rsidP="0062014C">
      <w:pPr>
        <w:pStyle w:val="SourceCaption"/>
        <w:rPr>
          <w:rFonts w:ascii="Times New Roman" w:hAnsi="Times New Roman"/>
        </w:rPr>
      </w:pPr>
    </w:p>
    <w:p w:rsidR="00CF117B" w:rsidRDefault="00CF117B" w:rsidP="009A5853">
      <w:pPr>
        <w:jc w:val="both"/>
        <w:rPr>
          <w:sz w:val="22"/>
          <w:szCs w:val="22"/>
        </w:rPr>
      </w:pPr>
      <w:r>
        <w:rPr>
          <w:sz w:val="22"/>
          <w:szCs w:val="22"/>
        </w:rPr>
        <w:t>The Seligman resource estimate was based on the pre-existing Mt Hamilton database consisting of 531 drill holes.  The data was verified/validated by SRK in compliance with NI</w:t>
      </w:r>
      <w:r w:rsidR="00F44C30">
        <w:rPr>
          <w:sz w:val="22"/>
          <w:szCs w:val="22"/>
        </w:rPr>
        <w:t>-</w:t>
      </w:r>
      <w:r>
        <w:rPr>
          <w:sz w:val="22"/>
          <w:szCs w:val="22"/>
        </w:rPr>
        <w:t xml:space="preserve">43-101 requirements.  The Seligman mineralization was mined for several years in the mid-1990’s, but mining ceased </w:t>
      </w:r>
      <w:r w:rsidR="00F20A6D">
        <w:rPr>
          <w:sz w:val="22"/>
          <w:szCs w:val="22"/>
        </w:rPr>
        <w:t xml:space="preserve">in 1997 </w:t>
      </w:r>
      <w:r>
        <w:rPr>
          <w:sz w:val="22"/>
          <w:szCs w:val="22"/>
        </w:rPr>
        <w:t xml:space="preserve">due to low gold prices. </w:t>
      </w:r>
      <w:r w:rsidR="00F20A6D">
        <w:rPr>
          <w:sz w:val="22"/>
          <w:szCs w:val="22"/>
        </w:rPr>
        <w:t xml:space="preserve"> </w:t>
      </w:r>
      <w:r w:rsidR="00D6305C">
        <w:rPr>
          <w:sz w:val="22"/>
          <w:szCs w:val="22"/>
        </w:rPr>
        <w:t>Seligman mineralization</w:t>
      </w:r>
      <w:r w:rsidR="002013E3">
        <w:rPr>
          <w:sz w:val="22"/>
          <w:szCs w:val="22"/>
        </w:rPr>
        <w:t xml:space="preserve">, if mined, would </w:t>
      </w:r>
      <w:r w:rsidR="00F20A6D">
        <w:rPr>
          <w:sz w:val="22"/>
          <w:szCs w:val="22"/>
        </w:rPr>
        <w:t>require significantly less pre-stripping of waste</w:t>
      </w:r>
      <w:r w:rsidR="002013E3">
        <w:rPr>
          <w:sz w:val="22"/>
          <w:szCs w:val="22"/>
        </w:rPr>
        <w:t xml:space="preserve"> than the Cente</w:t>
      </w:r>
      <w:bookmarkStart w:id="0" w:name="_GoBack"/>
      <w:bookmarkEnd w:id="0"/>
      <w:r w:rsidR="002013E3">
        <w:rPr>
          <w:sz w:val="22"/>
          <w:szCs w:val="22"/>
        </w:rPr>
        <w:t xml:space="preserve">nnial ore body situated immediately to the </w:t>
      </w:r>
      <w:r w:rsidR="002013E3">
        <w:rPr>
          <w:sz w:val="22"/>
          <w:szCs w:val="22"/>
        </w:rPr>
        <w:lastRenderedPageBreak/>
        <w:t>south</w:t>
      </w:r>
      <w:r w:rsidR="00F20A6D">
        <w:rPr>
          <w:sz w:val="22"/>
          <w:szCs w:val="22"/>
        </w:rPr>
        <w:t xml:space="preserve">.  This could advance initial production by at least six months and reduce initial capital costs by $5.0 to $7.0 million, compared to the </w:t>
      </w:r>
      <w:r w:rsidR="00D6305C">
        <w:rPr>
          <w:sz w:val="22"/>
          <w:szCs w:val="22"/>
        </w:rPr>
        <w:t xml:space="preserve">Centennial </w:t>
      </w:r>
      <w:r w:rsidR="00F20A6D">
        <w:rPr>
          <w:sz w:val="22"/>
          <w:szCs w:val="22"/>
        </w:rPr>
        <w:t xml:space="preserve">Feasibility Study mining plan that did not include Seligman </w:t>
      </w:r>
      <w:r w:rsidR="002013E3">
        <w:rPr>
          <w:sz w:val="22"/>
          <w:szCs w:val="22"/>
        </w:rPr>
        <w:t xml:space="preserve">mineralization.  Maps showing the proximity of Seligman mineralization to the Centennial reserves and proposed mine infrastructure can be accessed at </w:t>
      </w:r>
      <w:hyperlink r:id="rId7" w:history="1">
        <w:r w:rsidR="002013E3" w:rsidRPr="002013E3">
          <w:rPr>
            <w:rStyle w:val="Hyperlink"/>
            <w:bCs/>
            <w:sz w:val="22"/>
            <w:szCs w:val="22"/>
          </w:rPr>
          <w:t>http://www.solitarioxr.com/art/Seligman.pdf</w:t>
        </w:r>
      </w:hyperlink>
      <w:r w:rsidR="002013E3" w:rsidRPr="002013E3">
        <w:rPr>
          <w:rStyle w:val="apple-style-span"/>
          <w:color w:val="0010EB"/>
          <w:sz w:val="22"/>
          <w:szCs w:val="22"/>
        </w:rPr>
        <w:t xml:space="preserve">. </w:t>
      </w:r>
      <w:r w:rsidR="002013E3" w:rsidRPr="002013E3">
        <w:rPr>
          <w:rStyle w:val="apple-style-span"/>
          <w:sz w:val="22"/>
          <w:szCs w:val="22"/>
        </w:rPr>
        <w:t>Additional project information is found at</w:t>
      </w:r>
      <w:r w:rsidR="002013E3" w:rsidRPr="002013E3">
        <w:rPr>
          <w:rStyle w:val="apple-style-span"/>
          <w:color w:val="0010EB"/>
          <w:sz w:val="22"/>
          <w:szCs w:val="22"/>
        </w:rPr>
        <w:t xml:space="preserve"> </w:t>
      </w:r>
      <w:hyperlink r:id="rId8" w:history="1">
        <w:r w:rsidR="00216D4A" w:rsidRPr="00D97224">
          <w:rPr>
            <w:rStyle w:val="Hyperlink"/>
            <w:sz w:val="22"/>
            <w:szCs w:val="22"/>
          </w:rPr>
          <w:t>http://www.solitarioxr.com/hamilton.html</w:t>
        </w:r>
      </w:hyperlink>
      <w:r w:rsidR="002013E3" w:rsidRPr="002013E3">
        <w:rPr>
          <w:rStyle w:val="apple-style-span"/>
          <w:color w:val="0010EB"/>
          <w:sz w:val="22"/>
          <w:szCs w:val="22"/>
        </w:rPr>
        <w:t xml:space="preserve">. </w:t>
      </w:r>
      <w:r w:rsidR="002013E3" w:rsidRPr="00BF694E">
        <w:rPr>
          <w:rStyle w:val="apple-style-span"/>
          <w:rFonts w:ascii="Arial" w:hAnsi="Arial" w:cs="Arial"/>
          <w:color w:val="0010EB"/>
        </w:rPr>
        <w:t xml:space="preserve"> </w:t>
      </w:r>
    </w:p>
    <w:p w:rsidR="00CF117B" w:rsidRDefault="00CF117B" w:rsidP="009A5853">
      <w:pPr>
        <w:jc w:val="both"/>
        <w:rPr>
          <w:sz w:val="22"/>
          <w:szCs w:val="22"/>
        </w:rPr>
      </w:pPr>
    </w:p>
    <w:p w:rsidR="00CF117B" w:rsidRDefault="00A43452" w:rsidP="009A5853">
      <w:pPr>
        <w:jc w:val="both"/>
        <w:rPr>
          <w:sz w:val="22"/>
          <w:szCs w:val="22"/>
        </w:rPr>
      </w:pPr>
      <w:r w:rsidRPr="000F0723">
        <w:rPr>
          <w:sz w:val="22"/>
          <w:szCs w:val="22"/>
        </w:rPr>
        <w:t>Chris Herald, President and CEO of Solitario, stated</w:t>
      </w:r>
      <w:r w:rsidR="00385AD6">
        <w:rPr>
          <w:sz w:val="22"/>
          <w:szCs w:val="22"/>
        </w:rPr>
        <w:t>,</w:t>
      </w:r>
      <w:r w:rsidRPr="000F0723">
        <w:rPr>
          <w:sz w:val="22"/>
          <w:szCs w:val="22"/>
        </w:rPr>
        <w:t xml:space="preserve"> “</w:t>
      </w:r>
      <w:r w:rsidR="00AD182E">
        <w:rPr>
          <w:sz w:val="22"/>
          <w:szCs w:val="22"/>
        </w:rPr>
        <w:t>Solitario is now well within sight of achieving its objective of growing the Mt. Hamilton resource base to over a million ounces.</w:t>
      </w:r>
      <w:r>
        <w:rPr>
          <w:sz w:val="22"/>
          <w:szCs w:val="22"/>
        </w:rPr>
        <w:t xml:space="preserve">  </w:t>
      </w:r>
      <w:r w:rsidR="00F44C30">
        <w:rPr>
          <w:sz w:val="22"/>
          <w:szCs w:val="22"/>
        </w:rPr>
        <w:t>We are designing a mine plan that considers initially developing part of the Seligman deposit</w:t>
      </w:r>
      <w:r w:rsidR="00F20A6D">
        <w:rPr>
          <w:sz w:val="22"/>
          <w:szCs w:val="22"/>
        </w:rPr>
        <w:t xml:space="preserve"> </w:t>
      </w:r>
      <w:r w:rsidR="00F44C30">
        <w:rPr>
          <w:sz w:val="22"/>
          <w:szCs w:val="22"/>
        </w:rPr>
        <w:t xml:space="preserve">and </w:t>
      </w:r>
      <w:r w:rsidR="001C466F">
        <w:rPr>
          <w:sz w:val="22"/>
          <w:szCs w:val="22"/>
        </w:rPr>
        <w:t>incorporat</w:t>
      </w:r>
      <w:r w:rsidR="00F44C30">
        <w:rPr>
          <w:sz w:val="22"/>
          <w:szCs w:val="22"/>
        </w:rPr>
        <w:t>ing</w:t>
      </w:r>
      <w:r w:rsidR="001C466F">
        <w:rPr>
          <w:sz w:val="22"/>
          <w:szCs w:val="22"/>
        </w:rPr>
        <w:t xml:space="preserve"> </w:t>
      </w:r>
      <w:r w:rsidR="00F44C30">
        <w:rPr>
          <w:sz w:val="22"/>
          <w:szCs w:val="22"/>
        </w:rPr>
        <w:t xml:space="preserve">this </w:t>
      </w:r>
      <w:r w:rsidR="008A0FA0">
        <w:rPr>
          <w:sz w:val="22"/>
          <w:szCs w:val="22"/>
        </w:rPr>
        <w:t xml:space="preserve">into our soon to be filed Plan of Operations.  We are </w:t>
      </w:r>
      <w:r w:rsidR="00F44C30">
        <w:rPr>
          <w:sz w:val="22"/>
          <w:szCs w:val="22"/>
        </w:rPr>
        <w:t xml:space="preserve">also </w:t>
      </w:r>
      <w:r w:rsidR="008A0FA0">
        <w:rPr>
          <w:sz w:val="22"/>
          <w:szCs w:val="22"/>
        </w:rPr>
        <w:t xml:space="preserve">in the process of completing a 70-hole drilling program that focuses on </w:t>
      </w:r>
      <w:r w:rsidR="0082556D">
        <w:rPr>
          <w:sz w:val="22"/>
          <w:szCs w:val="22"/>
        </w:rPr>
        <w:t>converting Inferred Resources to Measured and Indicated Resources</w:t>
      </w:r>
      <w:r w:rsidR="00432677">
        <w:rPr>
          <w:sz w:val="22"/>
          <w:szCs w:val="22"/>
        </w:rPr>
        <w:t xml:space="preserve"> and</w:t>
      </w:r>
      <w:r w:rsidR="0082556D">
        <w:rPr>
          <w:sz w:val="22"/>
          <w:szCs w:val="22"/>
        </w:rPr>
        <w:t xml:space="preserve"> to </w:t>
      </w:r>
      <w:r w:rsidR="008A0FA0">
        <w:rPr>
          <w:sz w:val="22"/>
          <w:szCs w:val="22"/>
        </w:rPr>
        <w:t>further expan</w:t>
      </w:r>
      <w:r w:rsidR="0082556D">
        <w:rPr>
          <w:sz w:val="22"/>
          <w:szCs w:val="22"/>
        </w:rPr>
        <w:t>d mineralization</w:t>
      </w:r>
      <w:r w:rsidR="008A0FA0">
        <w:rPr>
          <w:sz w:val="22"/>
          <w:szCs w:val="22"/>
        </w:rPr>
        <w:t xml:space="preserve"> </w:t>
      </w:r>
      <w:r w:rsidR="000941BA">
        <w:rPr>
          <w:sz w:val="22"/>
          <w:szCs w:val="22"/>
        </w:rPr>
        <w:t>at both the Seligman and Centennial deposits</w:t>
      </w:r>
      <w:r w:rsidR="00432677">
        <w:rPr>
          <w:sz w:val="22"/>
          <w:szCs w:val="22"/>
        </w:rPr>
        <w:t xml:space="preserve">.  </w:t>
      </w:r>
      <w:r w:rsidR="00385AD6">
        <w:rPr>
          <w:sz w:val="22"/>
          <w:szCs w:val="22"/>
        </w:rPr>
        <w:t>The Seligman resource estimate reported in this release does not include any results from the current drilling program.</w:t>
      </w:r>
      <w:r w:rsidR="00CF117B">
        <w:rPr>
          <w:sz w:val="22"/>
          <w:szCs w:val="22"/>
        </w:rPr>
        <w:t xml:space="preserve">  </w:t>
      </w:r>
      <w:r w:rsidR="00432677">
        <w:rPr>
          <w:sz w:val="22"/>
          <w:szCs w:val="22"/>
        </w:rPr>
        <w:t>We are also conducting</w:t>
      </w:r>
      <w:r w:rsidR="000941BA">
        <w:rPr>
          <w:sz w:val="22"/>
          <w:szCs w:val="22"/>
        </w:rPr>
        <w:t xml:space="preserve"> </w:t>
      </w:r>
      <w:r w:rsidR="008A0FA0">
        <w:rPr>
          <w:sz w:val="22"/>
          <w:szCs w:val="22"/>
        </w:rPr>
        <w:t>metallurgical</w:t>
      </w:r>
      <w:r w:rsidR="0022325E">
        <w:rPr>
          <w:sz w:val="22"/>
          <w:szCs w:val="22"/>
        </w:rPr>
        <w:t>, environmental</w:t>
      </w:r>
      <w:r w:rsidR="008A0FA0">
        <w:rPr>
          <w:sz w:val="22"/>
          <w:szCs w:val="22"/>
        </w:rPr>
        <w:t xml:space="preserve"> and geotechnical </w:t>
      </w:r>
      <w:r w:rsidR="00432677">
        <w:rPr>
          <w:sz w:val="22"/>
          <w:szCs w:val="22"/>
        </w:rPr>
        <w:t>drilling</w:t>
      </w:r>
      <w:r w:rsidR="000941BA">
        <w:rPr>
          <w:sz w:val="22"/>
          <w:szCs w:val="22"/>
        </w:rPr>
        <w:t xml:space="preserve"> at Seligman</w:t>
      </w:r>
      <w:r w:rsidR="00432677">
        <w:rPr>
          <w:sz w:val="22"/>
          <w:szCs w:val="22"/>
        </w:rPr>
        <w:t xml:space="preserve"> as part of our economic evaluation of this deposit.</w:t>
      </w:r>
      <w:r w:rsidR="00CF117B">
        <w:rPr>
          <w:sz w:val="22"/>
          <w:szCs w:val="22"/>
        </w:rPr>
        <w:t>”</w:t>
      </w:r>
      <w:r w:rsidR="000941BA">
        <w:rPr>
          <w:sz w:val="22"/>
          <w:szCs w:val="22"/>
        </w:rPr>
        <w:t xml:space="preserve">  </w:t>
      </w:r>
    </w:p>
    <w:p w:rsidR="00385AD6" w:rsidRDefault="00385AD6" w:rsidP="009A5853">
      <w:pPr>
        <w:jc w:val="both"/>
        <w:rPr>
          <w:sz w:val="22"/>
          <w:szCs w:val="22"/>
        </w:rPr>
      </w:pPr>
    </w:p>
    <w:p w:rsidR="00F732F1" w:rsidRPr="00E47EB1" w:rsidRDefault="00F732F1" w:rsidP="009A5853">
      <w:pPr>
        <w:jc w:val="both"/>
        <w:rPr>
          <w:sz w:val="22"/>
          <w:szCs w:val="22"/>
        </w:rPr>
      </w:pPr>
      <w:r w:rsidRPr="00E47EB1">
        <w:rPr>
          <w:sz w:val="22"/>
          <w:szCs w:val="22"/>
        </w:rPr>
        <w:t>Trey Wasser, Ely Gold’s President and CEO, stated,</w:t>
      </w:r>
      <w:r w:rsidR="000627FB" w:rsidRPr="00E47EB1">
        <w:rPr>
          <w:sz w:val="22"/>
          <w:szCs w:val="22"/>
        </w:rPr>
        <w:t xml:space="preserve"> “Seligman mineralization is an important component of the emerging growth potential at Mt. Hamilton. </w:t>
      </w:r>
      <w:r w:rsidR="0039703E" w:rsidRPr="00E47EB1">
        <w:rPr>
          <w:sz w:val="22"/>
          <w:szCs w:val="22"/>
        </w:rPr>
        <w:t xml:space="preserve"> With the proceeds from the recent financings </w:t>
      </w:r>
      <w:r w:rsidR="001512DE" w:rsidRPr="00E47EB1">
        <w:rPr>
          <w:sz w:val="22"/>
          <w:szCs w:val="22"/>
        </w:rPr>
        <w:t>with</w:t>
      </w:r>
      <w:r w:rsidR="0039703E" w:rsidRPr="00E47EB1">
        <w:rPr>
          <w:sz w:val="22"/>
          <w:szCs w:val="22"/>
        </w:rPr>
        <w:t xml:space="preserve"> Sandstorm Gold Ltd. (TSX-V: </w:t>
      </w:r>
      <w:r w:rsidR="00CF117B" w:rsidRPr="00E47EB1">
        <w:rPr>
          <w:sz w:val="22"/>
          <w:szCs w:val="22"/>
        </w:rPr>
        <w:t>“</w:t>
      </w:r>
      <w:r w:rsidR="0039703E" w:rsidRPr="00E47EB1">
        <w:rPr>
          <w:b/>
          <w:sz w:val="22"/>
          <w:szCs w:val="22"/>
        </w:rPr>
        <w:t>SSL</w:t>
      </w:r>
      <w:r w:rsidR="000627FB" w:rsidRPr="00E47EB1">
        <w:rPr>
          <w:sz w:val="22"/>
          <w:szCs w:val="22"/>
        </w:rPr>
        <w:t>”</w:t>
      </w:r>
      <w:r w:rsidR="00CF117B" w:rsidRPr="00E47EB1">
        <w:rPr>
          <w:sz w:val="22"/>
          <w:szCs w:val="22"/>
        </w:rPr>
        <w:t>)</w:t>
      </w:r>
      <w:r w:rsidR="0039703E" w:rsidRPr="00E47EB1">
        <w:rPr>
          <w:sz w:val="22"/>
          <w:szCs w:val="22"/>
        </w:rPr>
        <w:t xml:space="preserve"> and </w:t>
      </w:r>
      <w:r w:rsidR="001512DE" w:rsidRPr="00E47EB1">
        <w:rPr>
          <w:sz w:val="22"/>
          <w:szCs w:val="22"/>
        </w:rPr>
        <w:t xml:space="preserve">RMB Australia Holdings Limited, the Mt. Hamilton LLC is fully funded to upgrade </w:t>
      </w:r>
      <w:r w:rsidR="00D11A97" w:rsidRPr="00E47EB1">
        <w:rPr>
          <w:sz w:val="22"/>
          <w:szCs w:val="22"/>
        </w:rPr>
        <w:t xml:space="preserve">and potentially expand </w:t>
      </w:r>
      <w:r w:rsidR="001512DE" w:rsidRPr="00E47EB1">
        <w:rPr>
          <w:sz w:val="22"/>
          <w:szCs w:val="22"/>
        </w:rPr>
        <w:t>Seligman</w:t>
      </w:r>
      <w:r w:rsidR="00B809F7">
        <w:rPr>
          <w:sz w:val="22"/>
          <w:szCs w:val="22"/>
        </w:rPr>
        <w:t>/Centennial</w:t>
      </w:r>
      <w:r w:rsidR="001512DE" w:rsidRPr="00E47EB1">
        <w:rPr>
          <w:sz w:val="22"/>
          <w:szCs w:val="22"/>
        </w:rPr>
        <w:t xml:space="preserve"> resources and continue the permitting process for mine development. </w:t>
      </w:r>
      <w:r w:rsidR="00D11A97" w:rsidRPr="00E47EB1">
        <w:rPr>
          <w:sz w:val="22"/>
          <w:szCs w:val="22"/>
        </w:rPr>
        <w:t xml:space="preserve"> </w:t>
      </w:r>
      <w:r w:rsidR="001512DE" w:rsidRPr="00E47EB1">
        <w:rPr>
          <w:sz w:val="22"/>
          <w:szCs w:val="22"/>
        </w:rPr>
        <w:t>In 2013 the joint venture is also planning to test the Wheeler Ridge exploration area situated south of the Centennial ore body</w:t>
      </w:r>
      <w:r w:rsidR="00385AD6" w:rsidRPr="00E47EB1">
        <w:rPr>
          <w:sz w:val="22"/>
          <w:szCs w:val="22"/>
        </w:rPr>
        <w:t>.</w:t>
      </w:r>
      <w:r w:rsidR="001512DE" w:rsidRPr="00E47EB1">
        <w:rPr>
          <w:sz w:val="22"/>
          <w:szCs w:val="22"/>
        </w:rPr>
        <w:t>”</w:t>
      </w:r>
    </w:p>
    <w:p w:rsidR="000627FB" w:rsidRDefault="00926E23" w:rsidP="000627FB">
      <w:pPr>
        <w:jc w:val="both"/>
        <w:rPr>
          <w:sz w:val="22"/>
          <w:szCs w:val="22"/>
        </w:rPr>
      </w:pPr>
      <w:r w:rsidRPr="00926E23">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13pt;margin-top:11.9pt;width:455.25pt;height:94.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RLAIAAFEEAAAOAAAAZHJzL2Uyb0RvYy54bWysVNtu2zAMfR+wfxD0vjhO4yYx4hRdugwD&#10;ugvQ7gNkWbaFyaImKbG7rx8lu1l2exnmB4EUqUPykPT2ZugUOQnrJOiCprM5JUJzqKRuCvr58fBq&#10;TYnzTFdMgRYFfRKO3uxevtj2JhcLaEFVwhIE0S7vTUFb702eJI63omNuBkZoNNZgO+ZRtU1SWdYj&#10;eqeSxXx+nfRgK2OBC+fw9m400l3Er2vB/ce6dsITVVDMzcfTxrMMZ7LbsryxzLSST2mwf8iiY1Jj&#10;0DPUHfOMHK38DaqT3IKD2s84dAnUteQi1oDVpPNfqnlomRGxFiTHmTNN7v/B8g+nT5bIqqBXlGjW&#10;YYsexeDJaxjIKrDTG5ej04NBNz/gNXY5VurMPfAvjmjYt0w34tZa6FvBKswuDS+Ti6cjjgsgZf8e&#10;KgzDjh4i0FDbLlCHZBBExy49nTsTUuF4ma3W6fUqo4SjLb1abdZZFmOw/Pm5sc6/FdCRIBTUYusj&#10;PDvdOx/SYfmzS4jmQMnqIJWKim3KvbLkxHBMDvGb0H9yU5r0Bd1ki2xk4K8Q8/j9CaKTHuddya6g&#10;67MTywNvb3QVp9EzqUYZU1Z6IjJwN7Loh3KYGlNC9YSUWhjnGvcQhRbsN0p6nOmCuq9HZgUl6p3G&#10;tmzS5TIsQVSW2WqBir20lJcWpjlCFdRTMop7Py7O0VjZtBhpHAQNt9jKWkaSQ8/HrKa8cW4j99OO&#10;hcW41KPXjz/B7jsAAAD//wMAUEsDBBQABgAIAAAAIQC7wGOP4AAAAAoBAAAPAAAAZHJzL2Rvd25y&#10;ZXYueG1sTI/BTsMwDIbvSLxDZCQuaEvbla6UphNCAsENxgTXrMnaisQpSdaVt8ec4Gj71+/vqzez&#10;NWzSPgwOBaTLBJjG1qkBOwG7t4dFCSxEiUoah1rAtw6wac7Palkpd8JXPW1jx6gEQyUF9DGOFeeh&#10;7bWVYelGjXQ7OG9lpNF3XHl5onJreJYkBbdyQPrQy1Hf97r93B6tgDJ/mj7C8+rlvS0O5iZerafH&#10;Ly/E5cV8dwss6jn+heEXn9ChIaa9O6IKzAhYZAW5RAHZihQoUJb5NbA9LfI0Bd7U/L9C8wMAAP//&#10;AwBQSwECLQAUAAYACAAAACEAtoM4kv4AAADhAQAAEwAAAAAAAAAAAAAAAAAAAAAAW0NvbnRlbnRf&#10;VHlwZXNdLnhtbFBLAQItABQABgAIAAAAIQA4/SH/1gAAAJQBAAALAAAAAAAAAAAAAAAAAC8BAABf&#10;cmVscy8ucmVsc1BLAQItABQABgAIAAAAIQAPs/rRLAIAAFEEAAAOAAAAAAAAAAAAAAAAAC4CAABk&#10;cnMvZTJvRG9jLnhtbFBLAQItABQABgAIAAAAIQC7wGOP4AAAAAoBAAAPAAAAAAAAAAAAAAAAAIYE&#10;AABkcnMvZG93bnJldi54bWxQSwUGAAAAAAQABADzAAAAkwUAAAAA&#10;">
            <v:textbox>
              <w:txbxContent>
                <w:p w:rsidR="00D6305C" w:rsidRPr="009A5853" w:rsidRDefault="00D6305C" w:rsidP="004D49C4">
                  <w:pPr>
                    <w:autoSpaceDE w:val="0"/>
                    <w:autoSpaceDN w:val="0"/>
                    <w:adjustRightInd w:val="0"/>
                    <w:spacing w:line="220" w:lineRule="exact"/>
                    <w:jc w:val="both"/>
                    <w:rPr>
                      <w:sz w:val="16"/>
                      <w:szCs w:val="16"/>
                    </w:rPr>
                  </w:pPr>
                  <w:r w:rsidRPr="009A5853">
                    <w:rPr>
                      <w:b/>
                      <w:bCs/>
                      <w:sz w:val="16"/>
                      <w:szCs w:val="16"/>
                    </w:rPr>
                    <w:t xml:space="preserve">Cautionary Note to U.S. Investors concerning estimates of Resources: This news release uses the terms “Measured, Indicated and Inferred Resources.” The Company advises U.S. investors that while these terms are recognized and required by Canadian regulations, the SEC does not recognize the terms.  U.S. investors are cautioned not to assume that any part or all of Measured or Indicated Mineral Resources will ever be converted into Reserves.  Inferred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U.S. investors are cautioned not to assume that any part or all of a </w:t>
                  </w:r>
                  <w:r w:rsidRPr="009A5853">
                    <w:rPr>
                      <w:b/>
                      <w:bCs/>
                      <w:i/>
                      <w:iCs/>
                      <w:sz w:val="16"/>
                      <w:szCs w:val="16"/>
                    </w:rPr>
                    <w:t>measured, indicated or</w:t>
                  </w:r>
                  <w:r w:rsidRPr="009A5853">
                    <w:rPr>
                      <w:b/>
                      <w:bCs/>
                      <w:sz w:val="16"/>
                      <w:szCs w:val="16"/>
                    </w:rPr>
                    <w:t xml:space="preserve"> inferred resource exists, or is economically or legally minable.</w:t>
                  </w:r>
                  <w:r w:rsidRPr="009A5853">
                    <w:rPr>
                      <w:sz w:val="16"/>
                      <w:szCs w:val="16"/>
                    </w:rPr>
                    <w:t xml:space="preserve"> </w:t>
                  </w:r>
                </w:p>
                <w:p w:rsidR="00D6305C" w:rsidRDefault="00D6305C" w:rsidP="00A900E0"/>
              </w:txbxContent>
            </v:textbox>
          </v:shape>
        </w:pict>
      </w:r>
    </w:p>
    <w:p w:rsidR="00432677" w:rsidRDefault="00432677" w:rsidP="00DB275A">
      <w:pPr>
        <w:rPr>
          <w:sz w:val="22"/>
          <w:szCs w:val="22"/>
        </w:rPr>
      </w:pPr>
    </w:p>
    <w:p w:rsidR="00432677" w:rsidRDefault="00432677" w:rsidP="00DB275A">
      <w:pPr>
        <w:rPr>
          <w:sz w:val="22"/>
          <w:szCs w:val="22"/>
        </w:rPr>
      </w:pPr>
    </w:p>
    <w:p w:rsidR="00432677" w:rsidRDefault="00432677" w:rsidP="00DB275A">
      <w:pPr>
        <w:rPr>
          <w:sz w:val="22"/>
          <w:szCs w:val="22"/>
        </w:rPr>
      </w:pPr>
    </w:p>
    <w:p w:rsidR="00432677" w:rsidRDefault="00432677" w:rsidP="00DB275A">
      <w:pPr>
        <w:rPr>
          <w:sz w:val="22"/>
          <w:szCs w:val="22"/>
        </w:rPr>
      </w:pPr>
    </w:p>
    <w:p w:rsidR="00432677" w:rsidRDefault="00432677" w:rsidP="00DB275A">
      <w:pPr>
        <w:rPr>
          <w:sz w:val="22"/>
          <w:szCs w:val="22"/>
        </w:rPr>
      </w:pPr>
    </w:p>
    <w:p w:rsidR="00432677" w:rsidRDefault="00432677" w:rsidP="00DB275A">
      <w:pPr>
        <w:rPr>
          <w:sz w:val="22"/>
          <w:szCs w:val="22"/>
        </w:rPr>
      </w:pPr>
    </w:p>
    <w:p w:rsidR="00432677" w:rsidRDefault="00432677" w:rsidP="00DB275A">
      <w:pPr>
        <w:rPr>
          <w:sz w:val="22"/>
          <w:szCs w:val="22"/>
        </w:rPr>
      </w:pPr>
    </w:p>
    <w:p w:rsidR="00432677" w:rsidRDefault="00432677" w:rsidP="00DB275A">
      <w:pPr>
        <w:rPr>
          <w:sz w:val="22"/>
          <w:szCs w:val="22"/>
        </w:rPr>
      </w:pPr>
    </w:p>
    <w:p w:rsidR="001A6C78" w:rsidRPr="001A6C78" w:rsidRDefault="001A6C78" w:rsidP="00DB275A">
      <w:pPr>
        <w:rPr>
          <w:b/>
          <w:sz w:val="22"/>
          <w:szCs w:val="22"/>
        </w:rPr>
      </w:pPr>
      <w:r w:rsidRPr="001A6C78">
        <w:rPr>
          <w:b/>
          <w:sz w:val="22"/>
          <w:szCs w:val="22"/>
        </w:rPr>
        <w:t>Mt. Hamilton Feasibility Study</w:t>
      </w:r>
    </w:p>
    <w:p w:rsidR="001A6C78" w:rsidRDefault="001A6C78" w:rsidP="00DB275A">
      <w:pPr>
        <w:rPr>
          <w:sz w:val="22"/>
          <w:szCs w:val="22"/>
        </w:rPr>
      </w:pPr>
    </w:p>
    <w:p w:rsidR="001A6C78" w:rsidRDefault="001A6C78" w:rsidP="009A5853">
      <w:pPr>
        <w:pStyle w:val="BodyText"/>
        <w:jc w:val="both"/>
        <w:rPr>
          <w:sz w:val="22"/>
          <w:szCs w:val="22"/>
        </w:rPr>
      </w:pPr>
      <w:r>
        <w:rPr>
          <w:sz w:val="22"/>
          <w:szCs w:val="22"/>
        </w:rPr>
        <w:t xml:space="preserve">The Mt. Hamilton Feasibility Study completed earlier this year detailed the development of an open pit mining operation with heap leach processing and projected gold recoveries of 79%.  The reserves are contained within a well-defined ore body </w:t>
      </w:r>
      <w:r w:rsidRPr="00931DB7">
        <w:rPr>
          <w:sz w:val="22"/>
          <w:szCs w:val="22"/>
        </w:rPr>
        <w:t>displaying excellent continuity</w:t>
      </w:r>
      <w:r>
        <w:rPr>
          <w:sz w:val="22"/>
          <w:szCs w:val="22"/>
        </w:rPr>
        <w:t xml:space="preserve"> of mineralization that will be mined within a single open pit.  Processing is straight</w:t>
      </w:r>
      <w:r w:rsidR="00AD182E">
        <w:rPr>
          <w:sz w:val="22"/>
          <w:szCs w:val="22"/>
        </w:rPr>
        <w:t xml:space="preserve"> </w:t>
      </w:r>
      <w:r>
        <w:rPr>
          <w:sz w:val="22"/>
          <w:szCs w:val="22"/>
        </w:rPr>
        <w:t xml:space="preserve">forward with two-stage crushing to minus ¾-inch, no agglomeration and rapid gold leach rates, followed by conventional ADR (adsorption-desorption-recovery) metal extraction.  </w:t>
      </w:r>
    </w:p>
    <w:p w:rsidR="00A33AF0" w:rsidRDefault="008C2E54" w:rsidP="009A5853">
      <w:pPr>
        <w:jc w:val="both"/>
        <w:rPr>
          <w:sz w:val="22"/>
          <w:szCs w:val="22"/>
        </w:rPr>
      </w:pPr>
      <w:r>
        <w:rPr>
          <w:sz w:val="22"/>
          <w:szCs w:val="22"/>
        </w:rPr>
        <w:t xml:space="preserve">The </w:t>
      </w:r>
      <w:r w:rsidR="00C82AA5">
        <w:rPr>
          <w:sz w:val="22"/>
          <w:szCs w:val="22"/>
        </w:rPr>
        <w:t>Feasibility Study estimated life</w:t>
      </w:r>
      <w:r w:rsidR="00486D16">
        <w:rPr>
          <w:sz w:val="22"/>
          <w:szCs w:val="22"/>
        </w:rPr>
        <w:t xml:space="preserve">-of-mine cash operating costs on a gold equivalent basis (at </w:t>
      </w:r>
      <w:proofErr w:type="gramStart"/>
      <w:r w:rsidR="00486D16">
        <w:rPr>
          <w:sz w:val="22"/>
          <w:szCs w:val="22"/>
        </w:rPr>
        <w:t xml:space="preserve">a </w:t>
      </w:r>
      <w:r w:rsidR="00DD0BBA">
        <w:rPr>
          <w:sz w:val="22"/>
          <w:szCs w:val="22"/>
        </w:rPr>
        <w:t>55</w:t>
      </w:r>
      <w:r w:rsidR="00486D16">
        <w:rPr>
          <w:sz w:val="22"/>
          <w:szCs w:val="22"/>
        </w:rPr>
        <w:t>:1</w:t>
      </w:r>
      <w:proofErr w:type="gramEnd"/>
      <w:r w:rsidR="00486D16">
        <w:rPr>
          <w:sz w:val="22"/>
          <w:szCs w:val="22"/>
        </w:rPr>
        <w:t xml:space="preserve"> silver to gold ratio) </w:t>
      </w:r>
      <w:r w:rsidR="00C82AA5">
        <w:rPr>
          <w:sz w:val="22"/>
          <w:szCs w:val="22"/>
        </w:rPr>
        <w:t xml:space="preserve">to be </w:t>
      </w:r>
      <w:r w:rsidR="001A6C78">
        <w:rPr>
          <w:sz w:val="22"/>
          <w:szCs w:val="22"/>
        </w:rPr>
        <w:t xml:space="preserve">approximately </w:t>
      </w:r>
      <w:r w:rsidR="00486D16" w:rsidRPr="00D77BC8">
        <w:rPr>
          <w:sz w:val="22"/>
          <w:szCs w:val="22"/>
        </w:rPr>
        <w:t>$5</w:t>
      </w:r>
      <w:r w:rsidR="001A6C78">
        <w:rPr>
          <w:sz w:val="22"/>
          <w:szCs w:val="22"/>
        </w:rPr>
        <w:t>7</w:t>
      </w:r>
      <w:r w:rsidR="00486D16" w:rsidRPr="00D77BC8">
        <w:rPr>
          <w:sz w:val="22"/>
          <w:szCs w:val="22"/>
        </w:rPr>
        <w:t>5 per</w:t>
      </w:r>
      <w:r w:rsidR="00486D16">
        <w:rPr>
          <w:sz w:val="22"/>
          <w:szCs w:val="22"/>
        </w:rPr>
        <w:t xml:space="preserve"> </w:t>
      </w:r>
      <w:r w:rsidR="00774F58">
        <w:rPr>
          <w:sz w:val="22"/>
          <w:szCs w:val="22"/>
        </w:rPr>
        <w:t xml:space="preserve">gold-equivalent </w:t>
      </w:r>
      <w:r w:rsidR="00486D16">
        <w:rPr>
          <w:sz w:val="22"/>
          <w:szCs w:val="22"/>
        </w:rPr>
        <w:t xml:space="preserve">ounce </w:t>
      </w:r>
      <w:r w:rsidR="00774F58">
        <w:rPr>
          <w:sz w:val="22"/>
          <w:szCs w:val="22"/>
        </w:rPr>
        <w:t>recovered</w:t>
      </w:r>
      <w:r w:rsidR="001A6C78">
        <w:rPr>
          <w:sz w:val="22"/>
          <w:szCs w:val="22"/>
        </w:rPr>
        <w:t xml:space="preserve"> (in</w:t>
      </w:r>
      <w:r w:rsidR="00FD21FA">
        <w:rPr>
          <w:sz w:val="22"/>
          <w:szCs w:val="22"/>
        </w:rPr>
        <w:t>cluding the costs of a 2.4% NSR sold after completion of the Fe</w:t>
      </w:r>
      <w:r w:rsidR="00AA3D35">
        <w:rPr>
          <w:sz w:val="22"/>
          <w:szCs w:val="22"/>
        </w:rPr>
        <w:t>a</w:t>
      </w:r>
      <w:r w:rsidR="00FD21FA">
        <w:rPr>
          <w:sz w:val="22"/>
          <w:szCs w:val="22"/>
        </w:rPr>
        <w:t>sibility Study</w:t>
      </w:r>
      <w:r w:rsidR="00C82AA5">
        <w:rPr>
          <w:sz w:val="22"/>
          <w:szCs w:val="22"/>
        </w:rPr>
        <w:t>)</w:t>
      </w:r>
      <w:r w:rsidR="00FD21FA">
        <w:rPr>
          <w:sz w:val="22"/>
          <w:szCs w:val="22"/>
        </w:rPr>
        <w:t>.</w:t>
      </w:r>
      <w:r w:rsidR="00A33AF0">
        <w:rPr>
          <w:sz w:val="22"/>
          <w:szCs w:val="22"/>
        </w:rPr>
        <w:t xml:space="preserve"> </w:t>
      </w:r>
      <w:r w:rsidR="00486D16">
        <w:rPr>
          <w:sz w:val="22"/>
          <w:szCs w:val="22"/>
        </w:rPr>
        <w:t xml:space="preserve"> T</w:t>
      </w:r>
      <w:r w:rsidR="00A33AF0">
        <w:rPr>
          <w:sz w:val="22"/>
          <w:szCs w:val="22"/>
        </w:rPr>
        <w:t>he economic base case</w:t>
      </w:r>
      <w:r w:rsidR="00821C7A">
        <w:rPr>
          <w:sz w:val="22"/>
          <w:szCs w:val="22"/>
        </w:rPr>
        <w:t xml:space="preserve"> </w:t>
      </w:r>
      <w:r w:rsidR="00C82AA5">
        <w:rPr>
          <w:sz w:val="22"/>
          <w:szCs w:val="22"/>
        </w:rPr>
        <w:t xml:space="preserve">in the Feasibility Study </w:t>
      </w:r>
      <w:r w:rsidR="00821C7A">
        <w:rPr>
          <w:sz w:val="22"/>
          <w:szCs w:val="22"/>
        </w:rPr>
        <w:t xml:space="preserve">assumes a </w:t>
      </w:r>
      <w:r w:rsidR="004969E8">
        <w:rPr>
          <w:sz w:val="22"/>
          <w:szCs w:val="22"/>
        </w:rPr>
        <w:t>$1</w:t>
      </w:r>
      <w:r w:rsidR="00486D16">
        <w:rPr>
          <w:sz w:val="22"/>
          <w:szCs w:val="22"/>
        </w:rPr>
        <w:t>,</w:t>
      </w:r>
      <w:r w:rsidR="004969E8">
        <w:rPr>
          <w:sz w:val="22"/>
          <w:szCs w:val="22"/>
        </w:rPr>
        <w:t xml:space="preserve">323 </w:t>
      </w:r>
      <w:r w:rsidR="009B1225">
        <w:rPr>
          <w:sz w:val="22"/>
          <w:szCs w:val="22"/>
        </w:rPr>
        <w:t xml:space="preserve">life-of-mine </w:t>
      </w:r>
      <w:r w:rsidR="00821C7A">
        <w:rPr>
          <w:sz w:val="22"/>
          <w:szCs w:val="22"/>
        </w:rPr>
        <w:t>gold price</w:t>
      </w:r>
      <w:r w:rsidR="004969E8">
        <w:rPr>
          <w:sz w:val="22"/>
          <w:szCs w:val="22"/>
        </w:rPr>
        <w:t xml:space="preserve"> and </w:t>
      </w:r>
      <w:r w:rsidR="00486D16">
        <w:rPr>
          <w:sz w:val="22"/>
          <w:szCs w:val="22"/>
        </w:rPr>
        <w:t xml:space="preserve">a </w:t>
      </w:r>
      <w:r w:rsidR="004969E8">
        <w:rPr>
          <w:sz w:val="22"/>
          <w:szCs w:val="22"/>
        </w:rPr>
        <w:t>$25.34 silver price</w:t>
      </w:r>
      <w:r w:rsidR="00486D16">
        <w:rPr>
          <w:sz w:val="22"/>
          <w:szCs w:val="22"/>
        </w:rPr>
        <w:t xml:space="preserve">, generating </w:t>
      </w:r>
      <w:r w:rsidR="009B1225">
        <w:rPr>
          <w:sz w:val="22"/>
          <w:szCs w:val="22"/>
        </w:rPr>
        <w:t xml:space="preserve">approximately </w:t>
      </w:r>
      <w:r w:rsidR="00A33AF0">
        <w:rPr>
          <w:sz w:val="22"/>
          <w:szCs w:val="22"/>
        </w:rPr>
        <w:t>$</w:t>
      </w:r>
      <w:r w:rsidR="009B1225">
        <w:rPr>
          <w:sz w:val="22"/>
          <w:szCs w:val="22"/>
        </w:rPr>
        <w:t>22</w:t>
      </w:r>
      <w:r w:rsidR="00DB275A">
        <w:rPr>
          <w:sz w:val="22"/>
          <w:szCs w:val="22"/>
        </w:rPr>
        <w:t>6</w:t>
      </w:r>
      <w:r w:rsidR="00A33AF0">
        <w:rPr>
          <w:sz w:val="22"/>
          <w:szCs w:val="22"/>
        </w:rPr>
        <w:t xml:space="preserve"> million in cash flow </w:t>
      </w:r>
      <w:r w:rsidR="00D70AD5" w:rsidRPr="00074BE7">
        <w:rPr>
          <w:sz w:val="22"/>
          <w:szCs w:val="22"/>
        </w:rPr>
        <w:t xml:space="preserve">(operating margin – EBITDA) </w:t>
      </w:r>
      <w:r w:rsidR="00A33AF0" w:rsidRPr="00074BE7">
        <w:rPr>
          <w:sz w:val="22"/>
          <w:szCs w:val="22"/>
        </w:rPr>
        <w:t>over</w:t>
      </w:r>
      <w:r w:rsidR="00821C7A" w:rsidRPr="00074BE7">
        <w:rPr>
          <w:sz w:val="22"/>
          <w:szCs w:val="22"/>
        </w:rPr>
        <w:t xml:space="preserve"> the mine’s</w:t>
      </w:r>
      <w:r w:rsidR="00A33AF0" w:rsidRPr="00074BE7">
        <w:rPr>
          <w:sz w:val="22"/>
          <w:szCs w:val="22"/>
        </w:rPr>
        <w:t xml:space="preserve"> anticipated </w:t>
      </w:r>
      <w:r w:rsidR="004969E8" w:rsidRPr="00074BE7">
        <w:rPr>
          <w:sz w:val="22"/>
          <w:szCs w:val="22"/>
        </w:rPr>
        <w:t>eight-year mine</w:t>
      </w:r>
      <w:r w:rsidR="00AD182E">
        <w:rPr>
          <w:sz w:val="22"/>
          <w:szCs w:val="22"/>
        </w:rPr>
        <w:t xml:space="preserve"> </w:t>
      </w:r>
      <w:r w:rsidR="00A33AF0" w:rsidRPr="00074BE7">
        <w:rPr>
          <w:sz w:val="22"/>
          <w:szCs w:val="22"/>
        </w:rPr>
        <w:t>life.  Initial capital costs are estimated at $</w:t>
      </w:r>
      <w:r w:rsidR="00D70AD5" w:rsidRPr="00074BE7">
        <w:rPr>
          <w:sz w:val="22"/>
          <w:szCs w:val="22"/>
        </w:rPr>
        <w:t>71.9</w:t>
      </w:r>
      <w:r w:rsidR="00A33AF0" w:rsidRPr="00074BE7">
        <w:rPr>
          <w:sz w:val="22"/>
          <w:szCs w:val="22"/>
        </w:rPr>
        <w:t xml:space="preserve"> million, including </w:t>
      </w:r>
      <w:r w:rsidR="00931DB7" w:rsidRPr="00074BE7">
        <w:rPr>
          <w:sz w:val="22"/>
          <w:szCs w:val="22"/>
        </w:rPr>
        <w:t xml:space="preserve">a contingency of </w:t>
      </w:r>
      <w:r w:rsidR="00DB275A" w:rsidRPr="00074BE7">
        <w:rPr>
          <w:sz w:val="22"/>
          <w:szCs w:val="22"/>
        </w:rPr>
        <w:t>$</w:t>
      </w:r>
      <w:r w:rsidR="00956A29" w:rsidRPr="00074BE7">
        <w:rPr>
          <w:sz w:val="22"/>
          <w:szCs w:val="22"/>
        </w:rPr>
        <w:t>6.3</w:t>
      </w:r>
      <w:r w:rsidR="00A33AF0">
        <w:rPr>
          <w:sz w:val="22"/>
          <w:szCs w:val="22"/>
        </w:rPr>
        <w:t xml:space="preserve"> million.  </w:t>
      </w:r>
      <w:r w:rsidR="00AD503E">
        <w:rPr>
          <w:sz w:val="22"/>
          <w:szCs w:val="22"/>
        </w:rPr>
        <w:t>S</w:t>
      </w:r>
      <w:r w:rsidR="00DB275A" w:rsidRPr="00A079A7">
        <w:rPr>
          <w:sz w:val="22"/>
          <w:szCs w:val="22"/>
        </w:rPr>
        <w:t xml:space="preserve">ilver </w:t>
      </w:r>
      <w:r w:rsidR="000E2478">
        <w:rPr>
          <w:sz w:val="22"/>
          <w:szCs w:val="22"/>
        </w:rPr>
        <w:t xml:space="preserve">production </w:t>
      </w:r>
      <w:r w:rsidR="00DB275A" w:rsidRPr="00A079A7">
        <w:rPr>
          <w:sz w:val="22"/>
          <w:szCs w:val="22"/>
        </w:rPr>
        <w:t xml:space="preserve">contributes </w:t>
      </w:r>
      <w:r w:rsidR="004F213A">
        <w:rPr>
          <w:sz w:val="22"/>
          <w:szCs w:val="22"/>
        </w:rPr>
        <w:t>approximately</w:t>
      </w:r>
      <w:r w:rsidR="00D77BC8">
        <w:rPr>
          <w:sz w:val="22"/>
          <w:szCs w:val="22"/>
        </w:rPr>
        <w:t xml:space="preserve"> </w:t>
      </w:r>
      <w:r w:rsidR="00D77BC8" w:rsidRPr="002A390F">
        <w:rPr>
          <w:sz w:val="22"/>
          <w:szCs w:val="22"/>
        </w:rPr>
        <w:t>1</w:t>
      </w:r>
      <w:r w:rsidR="004F213A" w:rsidRPr="002A390F">
        <w:rPr>
          <w:sz w:val="22"/>
          <w:szCs w:val="22"/>
        </w:rPr>
        <w:t>1</w:t>
      </w:r>
      <w:r w:rsidR="00DB275A" w:rsidRPr="002A390F">
        <w:rPr>
          <w:sz w:val="22"/>
          <w:szCs w:val="22"/>
        </w:rPr>
        <w:t>%</w:t>
      </w:r>
      <w:r w:rsidR="00DB275A" w:rsidRPr="00A079A7">
        <w:rPr>
          <w:sz w:val="22"/>
          <w:szCs w:val="22"/>
        </w:rPr>
        <w:t xml:space="preserve"> to the </w:t>
      </w:r>
      <w:r w:rsidR="00D77BC8">
        <w:rPr>
          <w:sz w:val="22"/>
          <w:szCs w:val="22"/>
        </w:rPr>
        <w:t>overall project revenues</w:t>
      </w:r>
      <w:r w:rsidR="00DB275A" w:rsidRPr="00A079A7">
        <w:rPr>
          <w:sz w:val="22"/>
          <w:szCs w:val="22"/>
        </w:rPr>
        <w:t>.</w:t>
      </w:r>
      <w:r w:rsidR="00DB275A">
        <w:t xml:space="preserve">  </w:t>
      </w:r>
      <w:r w:rsidR="00E07845">
        <w:t>The a</w:t>
      </w:r>
      <w:r w:rsidR="00FD21FA">
        <w:t xml:space="preserve">verage </w:t>
      </w:r>
      <w:r w:rsidR="00E07845">
        <w:t>waste to ore stripping ratio is</w:t>
      </w:r>
      <w:r w:rsidR="00FD21FA">
        <w:t xml:space="preserve"> 2.4 to 1.</w:t>
      </w:r>
    </w:p>
    <w:p w:rsidR="00307E51" w:rsidRDefault="009C0ABD" w:rsidP="00B1735F">
      <w:pPr>
        <w:jc w:val="center"/>
        <w:rPr>
          <w:b/>
        </w:rPr>
      </w:pPr>
      <w:r w:rsidRPr="00924E55">
        <w:rPr>
          <w:b/>
        </w:rPr>
        <w:lastRenderedPageBreak/>
        <w:t>Mineral</w:t>
      </w:r>
      <w:r w:rsidR="00F54A12" w:rsidRPr="00924E55">
        <w:rPr>
          <w:b/>
        </w:rPr>
        <w:t xml:space="preserve"> Reserves Statement,</w:t>
      </w:r>
      <w:r w:rsidR="00DE1E53">
        <w:rPr>
          <w:b/>
        </w:rPr>
        <w:t xml:space="preserve"> Centennial</w:t>
      </w:r>
      <w:r w:rsidRPr="00924E55">
        <w:rPr>
          <w:b/>
        </w:rPr>
        <w:t xml:space="preserve"> Gold-Silver Deposit, </w:t>
      </w:r>
    </w:p>
    <w:p w:rsidR="00B1735F" w:rsidRPr="00B1735F" w:rsidRDefault="009C0ABD" w:rsidP="00B1735F">
      <w:pPr>
        <w:jc w:val="center"/>
        <w:rPr>
          <w:b/>
          <w:u w:val="single"/>
        </w:rPr>
      </w:pPr>
      <w:proofErr w:type="gramStart"/>
      <w:r w:rsidRPr="00924E55">
        <w:rPr>
          <w:b/>
        </w:rPr>
        <w:t>White Pine County, Nevada, SRK Consulting (Inc.)</w:t>
      </w:r>
      <w:proofErr w:type="gramEnd"/>
    </w:p>
    <w:p w:rsidR="00B81341" w:rsidRDefault="00B81341" w:rsidP="00AF30A1">
      <w:pPr>
        <w:jc w:val="both"/>
        <w:rPr>
          <w:sz w:val="22"/>
          <w:szCs w:val="22"/>
        </w:rPr>
      </w:pPr>
    </w:p>
    <w:tbl>
      <w:tblP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998"/>
        <w:gridCol w:w="873"/>
        <w:gridCol w:w="882"/>
        <w:gridCol w:w="801"/>
        <w:gridCol w:w="855"/>
        <w:gridCol w:w="1082"/>
        <w:gridCol w:w="1082"/>
      </w:tblGrid>
      <w:tr w:rsidR="00B650D2" w:rsidRPr="00954579" w:rsidTr="00AD503E">
        <w:trPr>
          <w:trHeight w:val="356"/>
        </w:trPr>
        <w:tc>
          <w:tcPr>
            <w:tcW w:w="1414" w:type="dxa"/>
            <w:vMerge w:val="restart"/>
          </w:tcPr>
          <w:p w:rsidR="002227DA" w:rsidRPr="00AD503E" w:rsidRDefault="002227DA" w:rsidP="002227DA">
            <w:pPr>
              <w:jc w:val="center"/>
              <w:rPr>
                <w:b/>
                <w:sz w:val="18"/>
                <w:szCs w:val="18"/>
              </w:rPr>
            </w:pPr>
            <w:r w:rsidRPr="00AD503E">
              <w:rPr>
                <w:b/>
                <w:sz w:val="18"/>
                <w:szCs w:val="18"/>
              </w:rPr>
              <w:t>Reserve Category</w:t>
            </w:r>
          </w:p>
        </w:tc>
        <w:tc>
          <w:tcPr>
            <w:tcW w:w="998" w:type="dxa"/>
            <w:vMerge w:val="restart"/>
          </w:tcPr>
          <w:p w:rsidR="002227DA" w:rsidRPr="00AD503E" w:rsidRDefault="002227DA" w:rsidP="00627086">
            <w:pPr>
              <w:jc w:val="center"/>
              <w:rPr>
                <w:b/>
                <w:sz w:val="18"/>
                <w:szCs w:val="18"/>
              </w:rPr>
            </w:pPr>
            <w:r w:rsidRPr="00AD503E">
              <w:rPr>
                <w:b/>
                <w:sz w:val="18"/>
                <w:szCs w:val="18"/>
              </w:rPr>
              <w:t>Tons</w:t>
            </w:r>
          </w:p>
          <w:p w:rsidR="002227DA" w:rsidRPr="00AD503E" w:rsidRDefault="002227DA" w:rsidP="002227DA">
            <w:pPr>
              <w:jc w:val="center"/>
              <w:rPr>
                <w:b/>
                <w:sz w:val="18"/>
                <w:szCs w:val="18"/>
              </w:rPr>
            </w:pPr>
            <w:r w:rsidRPr="00AD503E">
              <w:rPr>
                <w:b/>
                <w:sz w:val="18"/>
                <w:szCs w:val="18"/>
              </w:rPr>
              <w:t>(millions)</w:t>
            </w:r>
          </w:p>
        </w:tc>
        <w:tc>
          <w:tcPr>
            <w:tcW w:w="1755" w:type="dxa"/>
            <w:gridSpan w:val="2"/>
          </w:tcPr>
          <w:p w:rsidR="002227DA" w:rsidRPr="00AD503E" w:rsidRDefault="002227DA" w:rsidP="002227DA">
            <w:pPr>
              <w:jc w:val="center"/>
              <w:rPr>
                <w:b/>
                <w:sz w:val="18"/>
                <w:szCs w:val="18"/>
              </w:rPr>
            </w:pPr>
            <w:r w:rsidRPr="00AD503E">
              <w:rPr>
                <w:b/>
                <w:sz w:val="18"/>
                <w:szCs w:val="18"/>
              </w:rPr>
              <w:t>Gold Grade</w:t>
            </w:r>
          </w:p>
        </w:tc>
        <w:tc>
          <w:tcPr>
            <w:tcW w:w="1656" w:type="dxa"/>
            <w:gridSpan w:val="2"/>
          </w:tcPr>
          <w:p w:rsidR="002227DA" w:rsidRPr="00AD503E" w:rsidRDefault="002227DA" w:rsidP="002227DA">
            <w:pPr>
              <w:jc w:val="center"/>
              <w:rPr>
                <w:b/>
                <w:sz w:val="18"/>
                <w:szCs w:val="18"/>
              </w:rPr>
            </w:pPr>
            <w:r w:rsidRPr="00AD503E">
              <w:rPr>
                <w:b/>
                <w:sz w:val="18"/>
                <w:szCs w:val="18"/>
              </w:rPr>
              <w:t>Silver Grade</w:t>
            </w:r>
            <w:r w:rsidR="00A900E0" w:rsidRPr="00AD503E">
              <w:rPr>
                <w:b/>
                <w:sz w:val="18"/>
                <w:szCs w:val="18"/>
              </w:rPr>
              <w:t>*</w:t>
            </w:r>
          </w:p>
        </w:tc>
        <w:tc>
          <w:tcPr>
            <w:tcW w:w="1082" w:type="dxa"/>
            <w:vMerge w:val="restart"/>
          </w:tcPr>
          <w:p w:rsidR="002227DA" w:rsidRPr="00AD503E" w:rsidRDefault="002227DA" w:rsidP="00627086">
            <w:pPr>
              <w:jc w:val="center"/>
              <w:rPr>
                <w:b/>
                <w:sz w:val="18"/>
                <w:szCs w:val="18"/>
              </w:rPr>
            </w:pPr>
            <w:r w:rsidRPr="00AD503E">
              <w:rPr>
                <w:b/>
                <w:sz w:val="18"/>
                <w:szCs w:val="18"/>
              </w:rPr>
              <w:t xml:space="preserve">Contained </w:t>
            </w:r>
          </w:p>
          <w:p w:rsidR="002227DA" w:rsidRPr="00AD503E" w:rsidRDefault="002227DA" w:rsidP="00627086">
            <w:pPr>
              <w:jc w:val="center"/>
              <w:rPr>
                <w:b/>
                <w:sz w:val="18"/>
                <w:szCs w:val="18"/>
              </w:rPr>
            </w:pPr>
            <w:r w:rsidRPr="00AD503E">
              <w:rPr>
                <w:b/>
                <w:sz w:val="18"/>
                <w:szCs w:val="18"/>
              </w:rPr>
              <w:t>Gold</w:t>
            </w:r>
            <w:r w:rsidR="00924E55" w:rsidRPr="00AD503E">
              <w:rPr>
                <w:b/>
                <w:sz w:val="18"/>
                <w:szCs w:val="18"/>
              </w:rPr>
              <w:t xml:space="preserve"> (oz)</w:t>
            </w:r>
          </w:p>
        </w:tc>
        <w:tc>
          <w:tcPr>
            <w:tcW w:w="1082" w:type="dxa"/>
            <w:vMerge w:val="restart"/>
          </w:tcPr>
          <w:p w:rsidR="002227DA" w:rsidRPr="00AD503E" w:rsidRDefault="002227DA" w:rsidP="00EF11A7">
            <w:pPr>
              <w:jc w:val="center"/>
              <w:rPr>
                <w:b/>
                <w:sz w:val="18"/>
                <w:szCs w:val="18"/>
              </w:rPr>
            </w:pPr>
            <w:r w:rsidRPr="00AD503E">
              <w:rPr>
                <w:b/>
                <w:sz w:val="18"/>
                <w:szCs w:val="18"/>
              </w:rPr>
              <w:t>Contained</w:t>
            </w:r>
            <w:r w:rsidR="00B650D2" w:rsidRPr="00AD503E">
              <w:rPr>
                <w:b/>
                <w:sz w:val="18"/>
                <w:szCs w:val="18"/>
              </w:rPr>
              <w:t xml:space="preserve"> </w:t>
            </w:r>
            <w:r w:rsidRPr="00AD503E">
              <w:rPr>
                <w:b/>
                <w:sz w:val="18"/>
                <w:szCs w:val="18"/>
              </w:rPr>
              <w:t>Silver</w:t>
            </w:r>
            <w:r w:rsidR="00924E55" w:rsidRPr="00AD503E">
              <w:rPr>
                <w:b/>
                <w:sz w:val="18"/>
                <w:szCs w:val="18"/>
              </w:rPr>
              <w:t xml:space="preserve"> (oz)</w:t>
            </w:r>
          </w:p>
        </w:tc>
      </w:tr>
      <w:tr w:rsidR="00B650D2" w:rsidRPr="00954579" w:rsidTr="00AD503E">
        <w:trPr>
          <w:trHeight w:val="355"/>
        </w:trPr>
        <w:tc>
          <w:tcPr>
            <w:tcW w:w="1414" w:type="dxa"/>
            <w:vMerge/>
          </w:tcPr>
          <w:p w:rsidR="002227DA" w:rsidRPr="00AD503E" w:rsidRDefault="002227DA" w:rsidP="00627086">
            <w:pPr>
              <w:jc w:val="center"/>
              <w:rPr>
                <w:b/>
                <w:sz w:val="18"/>
                <w:szCs w:val="18"/>
              </w:rPr>
            </w:pPr>
          </w:p>
        </w:tc>
        <w:tc>
          <w:tcPr>
            <w:tcW w:w="998" w:type="dxa"/>
            <w:vMerge/>
          </w:tcPr>
          <w:p w:rsidR="002227DA" w:rsidRPr="00AD503E" w:rsidRDefault="002227DA" w:rsidP="00627086">
            <w:pPr>
              <w:jc w:val="center"/>
              <w:rPr>
                <w:b/>
                <w:sz w:val="18"/>
                <w:szCs w:val="18"/>
              </w:rPr>
            </w:pPr>
          </w:p>
        </w:tc>
        <w:tc>
          <w:tcPr>
            <w:tcW w:w="873" w:type="dxa"/>
          </w:tcPr>
          <w:p w:rsidR="002227DA" w:rsidRPr="00AD503E" w:rsidRDefault="002227DA" w:rsidP="00627086">
            <w:pPr>
              <w:jc w:val="center"/>
              <w:rPr>
                <w:b/>
                <w:sz w:val="18"/>
                <w:szCs w:val="18"/>
              </w:rPr>
            </w:pPr>
            <w:r w:rsidRPr="00AD503E">
              <w:rPr>
                <w:b/>
                <w:sz w:val="18"/>
                <w:szCs w:val="18"/>
              </w:rPr>
              <w:t>Oz/Ton</w:t>
            </w:r>
          </w:p>
        </w:tc>
        <w:tc>
          <w:tcPr>
            <w:tcW w:w="882" w:type="dxa"/>
          </w:tcPr>
          <w:p w:rsidR="002227DA" w:rsidRPr="00AD503E" w:rsidRDefault="00924E55" w:rsidP="00627086">
            <w:pPr>
              <w:jc w:val="center"/>
              <w:rPr>
                <w:b/>
                <w:sz w:val="18"/>
                <w:szCs w:val="18"/>
              </w:rPr>
            </w:pPr>
            <w:r w:rsidRPr="00AD503E">
              <w:rPr>
                <w:b/>
                <w:sz w:val="18"/>
                <w:szCs w:val="18"/>
              </w:rPr>
              <w:t>g</w:t>
            </w:r>
            <w:r w:rsidR="002227DA" w:rsidRPr="00AD503E">
              <w:rPr>
                <w:b/>
                <w:sz w:val="18"/>
                <w:szCs w:val="18"/>
              </w:rPr>
              <w:t>/</w:t>
            </w:r>
            <w:proofErr w:type="spellStart"/>
            <w:r w:rsidR="002227DA" w:rsidRPr="00AD503E">
              <w:rPr>
                <w:b/>
                <w:sz w:val="18"/>
                <w:szCs w:val="18"/>
              </w:rPr>
              <w:t>Tonne</w:t>
            </w:r>
            <w:proofErr w:type="spellEnd"/>
          </w:p>
        </w:tc>
        <w:tc>
          <w:tcPr>
            <w:tcW w:w="801" w:type="dxa"/>
          </w:tcPr>
          <w:p w:rsidR="002227DA" w:rsidRPr="00AD503E" w:rsidRDefault="002227DA" w:rsidP="00627086">
            <w:pPr>
              <w:jc w:val="center"/>
              <w:rPr>
                <w:b/>
                <w:sz w:val="18"/>
                <w:szCs w:val="18"/>
              </w:rPr>
            </w:pPr>
            <w:r w:rsidRPr="00AD503E">
              <w:rPr>
                <w:b/>
                <w:sz w:val="18"/>
                <w:szCs w:val="18"/>
              </w:rPr>
              <w:t>Oz/Ton</w:t>
            </w:r>
          </w:p>
        </w:tc>
        <w:tc>
          <w:tcPr>
            <w:tcW w:w="855" w:type="dxa"/>
          </w:tcPr>
          <w:p w:rsidR="002227DA" w:rsidRPr="00AD503E" w:rsidRDefault="00924E55" w:rsidP="00627086">
            <w:pPr>
              <w:jc w:val="center"/>
              <w:rPr>
                <w:b/>
                <w:sz w:val="18"/>
                <w:szCs w:val="18"/>
              </w:rPr>
            </w:pPr>
            <w:r w:rsidRPr="00AD503E">
              <w:rPr>
                <w:b/>
                <w:sz w:val="18"/>
                <w:szCs w:val="18"/>
              </w:rPr>
              <w:t>g</w:t>
            </w:r>
            <w:r w:rsidR="002227DA" w:rsidRPr="00AD503E">
              <w:rPr>
                <w:b/>
                <w:sz w:val="18"/>
                <w:szCs w:val="18"/>
              </w:rPr>
              <w:t>/</w:t>
            </w:r>
            <w:proofErr w:type="spellStart"/>
            <w:r w:rsidR="002227DA" w:rsidRPr="00AD503E">
              <w:rPr>
                <w:b/>
                <w:sz w:val="18"/>
                <w:szCs w:val="18"/>
              </w:rPr>
              <w:t>Tonne</w:t>
            </w:r>
            <w:proofErr w:type="spellEnd"/>
          </w:p>
        </w:tc>
        <w:tc>
          <w:tcPr>
            <w:tcW w:w="1082" w:type="dxa"/>
            <w:vMerge/>
          </w:tcPr>
          <w:p w:rsidR="002227DA" w:rsidRPr="00AD503E" w:rsidRDefault="002227DA" w:rsidP="00627086">
            <w:pPr>
              <w:jc w:val="center"/>
              <w:rPr>
                <w:b/>
                <w:sz w:val="18"/>
                <w:szCs w:val="18"/>
              </w:rPr>
            </w:pPr>
          </w:p>
        </w:tc>
        <w:tc>
          <w:tcPr>
            <w:tcW w:w="1082" w:type="dxa"/>
            <w:vMerge/>
          </w:tcPr>
          <w:p w:rsidR="002227DA" w:rsidRPr="00AD503E" w:rsidRDefault="002227DA" w:rsidP="00EF11A7">
            <w:pPr>
              <w:jc w:val="center"/>
              <w:rPr>
                <w:b/>
                <w:sz w:val="18"/>
                <w:szCs w:val="18"/>
              </w:rPr>
            </w:pPr>
          </w:p>
        </w:tc>
      </w:tr>
      <w:tr w:rsidR="00B650D2" w:rsidRPr="00954579" w:rsidTr="00AD503E">
        <w:trPr>
          <w:trHeight w:val="323"/>
        </w:trPr>
        <w:tc>
          <w:tcPr>
            <w:tcW w:w="1414" w:type="dxa"/>
          </w:tcPr>
          <w:p w:rsidR="00653244" w:rsidRPr="00AD503E" w:rsidRDefault="00653244" w:rsidP="00627086">
            <w:pPr>
              <w:jc w:val="both"/>
              <w:rPr>
                <w:sz w:val="18"/>
                <w:szCs w:val="18"/>
              </w:rPr>
            </w:pPr>
            <w:r w:rsidRPr="00AD503E">
              <w:rPr>
                <w:sz w:val="18"/>
                <w:szCs w:val="18"/>
              </w:rPr>
              <w:t>Proven</w:t>
            </w:r>
          </w:p>
        </w:tc>
        <w:tc>
          <w:tcPr>
            <w:tcW w:w="998" w:type="dxa"/>
          </w:tcPr>
          <w:p w:rsidR="00653244" w:rsidRPr="00AD503E" w:rsidRDefault="00A900E0" w:rsidP="00627086">
            <w:pPr>
              <w:jc w:val="center"/>
              <w:rPr>
                <w:sz w:val="18"/>
                <w:szCs w:val="18"/>
              </w:rPr>
            </w:pPr>
            <w:r w:rsidRPr="00AD503E">
              <w:rPr>
                <w:sz w:val="18"/>
                <w:szCs w:val="18"/>
              </w:rPr>
              <w:t xml:space="preserve">  </w:t>
            </w:r>
            <w:r w:rsidR="00653244" w:rsidRPr="00AD503E">
              <w:rPr>
                <w:sz w:val="18"/>
                <w:szCs w:val="18"/>
              </w:rPr>
              <w:t>0.923</w:t>
            </w:r>
          </w:p>
        </w:tc>
        <w:tc>
          <w:tcPr>
            <w:tcW w:w="873" w:type="dxa"/>
          </w:tcPr>
          <w:p w:rsidR="00653244" w:rsidRPr="00AD503E" w:rsidRDefault="00653244" w:rsidP="00627086">
            <w:pPr>
              <w:jc w:val="center"/>
              <w:rPr>
                <w:sz w:val="18"/>
                <w:szCs w:val="18"/>
              </w:rPr>
            </w:pPr>
            <w:r w:rsidRPr="00AD503E">
              <w:rPr>
                <w:sz w:val="18"/>
                <w:szCs w:val="18"/>
              </w:rPr>
              <w:t>0.032</w:t>
            </w:r>
          </w:p>
        </w:tc>
        <w:tc>
          <w:tcPr>
            <w:tcW w:w="882" w:type="dxa"/>
          </w:tcPr>
          <w:p w:rsidR="00653244" w:rsidRPr="00AD503E" w:rsidRDefault="00653244" w:rsidP="00627086">
            <w:pPr>
              <w:jc w:val="center"/>
              <w:rPr>
                <w:sz w:val="18"/>
                <w:szCs w:val="18"/>
              </w:rPr>
            </w:pPr>
            <w:r w:rsidRPr="00AD503E">
              <w:rPr>
                <w:sz w:val="18"/>
                <w:szCs w:val="18"/>
              </w:rPr>
              <w:t>1.10</w:t>
            </w:r>
          </w:p>
        </w:tc>
        <w:tc>
          <w:tcPr>
            <w:tcW w:w="801" w:type="dxa"/>
          </w:tcPr>
          <w:p w:rsidR="00653244" w:rsidRPr="00AD503E" w:rsidRDefault="00653244" w:rsidP="00627086">
            <w:pPr>
              <w:jc w:val="center"/>
              <w:rPr>
                <w:sz w:val="18"/>
                <w:szCs w:val="18"/>
              </w:rPr>
            </w:pPr>
            <w:r w:rsidRPr="00AD503E">
              <w:rPr>
                <w:sz w:val="18"/>
                <w:szCs w:val="18"/>
              </w:rPr>
              <w:t>0.155</w:t>
            </w:r>
          </w:p>
        </w:tc>
        <w:tc>
          <w:tcPr>
            <w:tcW w:w="855" w:type="dxa"/>
          </w:tcPr>
          <w:p w:rsidR="00653244" w:rsidRPr="00AD503E" w:rsidRDefault="00653244" w:rsidP="00627086">
            <w:pPr>
              <w:jc w:val="center"/>
              <w:rPr>
                <w:sz w:val="18"/>
                <w:szCs w:val="18"/>
              </w:rPr>
            </w:pPr>
            <w:r w:rsidRPr="00AD503E">
              <w:rPr>
                <w:sz w:val="18"/>
                <w:szCs w:val="18"/>
              </w:rPr>
              <w:t>5.31</w:t>
            </w:r>
          </w:p>
        </w:tc>
        <w:tc>
          <w:tcPr>
            <w:tcW w:w="1082" w:type="dxa"/>
          </w:tcPr>
          <w:p w:rsidR="00653244" w:rsidRPr="00AD503E" w:rsidRDefault="00653244" w:rsidP="00627086">
            <w:pPr>
              <w:jc w:val="center"/>
              <w:rPr>
                <w:sz w:val="18"/>
                <w:szCs w:val="18"/>
              </w:rPr>
            </w:pPr>
            <w:r w:rsidRPr="00AD503E">
              <w:rPr>
                <w:sz w:val="18"/>
                <w:szCs w:val="18"/>
              </w:rPr>
              <w:t>29,300</w:t>
            </w:r>
          </w:p>
        </w:tc>
        <w:tc>
          <w:tcPr>
            <w:tcW w:w="1082" w:type="dxa"/>
          </w:tcPr>
          <w:p w:rsidR="00653244" w:rsidRPr="00AD503E" w:rsidRDefault="00653244" w:rsidP="00EF11A7">
            <w:pPr>
              <w:jc w:val="center"/>
              <w:rPr>
                <w:sz w:val="18"/>
                <w:szCs w:val="18"/>
              </w:rPr>
            </w:pPr>
            <w:r w:rsidRPr="00AD503E">
              <w:rPr>
                <w:sz w:val="18"/>
                <w:szCs w:val="18"/>
              </w:rPr>
              <w:t xml:space="preserve">  142,700</w:t>
            </w:r>
          </w:p>
        </w:tc>
      </w:tr>
      <w:tr w:rsidR="00B650D2" w:rsidRPr="00954579" w:rsidTr="00AD503E">
        <w:trPr>
          <w:trHeight w:val="323"/>
        </w:trPr>
        <w:tc>
          <w:tcPr>
            <w:tcW w:w="1414" w:type="dxa"/>
          </w:tcPr>
          <w:p w:rsidR="00653244" w:rsidRPr="00AD503E" w:rsidRDefault="00653244" w:rsidP="00627086">
            <w:pPr>
              <w:jc w:val="both"/>
              <w:rPr>
                <w:sz w:val="18"/>
                <w:szCs w:val="18"/>
              </w:rPr>
            </w:pPr>
            <w:r w:rsidRPr="00AD503E">
              <w:rPr>
                <w:sz w:val="18"/>
                <w:szCs w:val="18"/>
              </w:rPr>
              <w:t>Probable</w:t>
            </w:r>
          </w:p>
        </w:tc>
        <w:tc>
          <w:tcPr>
            <w:tcW w:w="998" w:type="dxa"/>
          </w:tcPr>
          <w:p w:rsidR="00653244" w:rsidRPr="00AD503E" w:rsidRDefault="00653244" w:rsidP="00627086">
            <w:pPr>
              <w:jc w:val="center"/>
              <w:rPr>
                <w:sz w:val="18"/>
                <w:szCs w:val="18"/>
              </w:rPr>
            </w:pPr>
            <w:r w:rsidRPr="00AD503E">
              <w:rPr>
                <w:sz w:val="18"/>
                <w:szCs w:val="18"/>
              </w:rPr>
              <w:t>21.6</w:t>
            </w:r>
            <w:r w:rsidR="00A900E0" w:rsidRPr="00AD503E">
              <w:rPr>
                <w:sz w:val="18"/>
                <w:szCs w:val="18"/>
              </w:rPr>
              <w:t>04</w:t>
            </w:r>
          </w:p>
        </w:tc>
        <w:tc>
          <w:tcPr>
            <w:tcW w:w="873" w:type="dxa"/>
          </w:tcPr>
          <w:p w:rsidR="00653244" w:rsidRPr="00AD503E" w:rsidRDefault="00653244" w:rsidP="00627086">
            <w:pPr>
              <w:jc w:val="center"/>
              <w:rPr>
                <w:sz w:val="18"/>
                <w:szCs w:val="18"/>
              </w:rPr>
            </w:pPr>
            <w:r w:rsidRPr="00AD503E">
              <w:rPr>
                <w:sz w:val="18"/>
                <w:szCs w:val="18"/>
              </w:rPr>
              <w:t>0.021</w:t>
            </w:r>
          </w:p>
        </w:tc>
        <w:tc>
          <w:tcPr>
            <w:tcW w:w="882" w:type="dxa"/>
          </w:tcPr>
          <w:p w:rsidR="00653244" w:rsidRPr="00AD503E" w:rsidRDefault="00653244" w:rsidP="00627086">
            <w:pPr>
              <w:jc w:val="center"/>
              <w:rPr>
                <w:sz w:val="18"/>
                <w:szCs w:val="18"/>
              </w:rPr>
            </w:pPr>
            <w:r w:rsidRPr="00AD503E">
              <w:rPr>
                <w:sz w:val="18"/>
                <w:szCs w:val="18"/>
              </w:rPr>
              <w:t>0.72</w:t>
            </w:r>
          </w:p>
        </w:tc>
        <w:tc>
          <w:tcPr>
            <w:tcW w:w="801" w:type="dxa"/>
          </w:tcPr>
          <w:p w:rsidR="00653244" w:rsidRPr="00AD503E" w:rsidRDefault="00653244" w:rsidP="00627086">
            <w:pPr>
              <w:jc w:val="center"/>
              <w:rPr>
                <w:sz w:val="18"/>
                <w:szCs w:val="18"/>
              </w:rPr>
            </w:pPr>
            <w:r w:rsidRPr="00AD503E">
              <w:rPr>
                <w:sz w:val="18"/>
                <w:szCs w:val="18"/>
              </w:rPr>
              <w:t>0.134</w:t>
            </w:r>
          </w:p>
        </w:tc>
        <w:tc>
          <w:tcPr>
            <w:tcW w:w="855" w:type="dxa"/>
          </w:tcPr>
          <w:p w:rsidR="00653244" w:rsidRPr="00AD503E" w:rsidRDefault="00653244" w:rsidP="00627086">
            <w:pPr>
              <w:jc w:val="center"/>
              <w:rPr>
                <w:sz w:val="18"/>
                <w:szCs w:val="18"/>
              </w:rPr>
            </w:pPr>
            <w:r w:rsidRPr="00AD503E">
              <w:rPr>
                <w:sz w:val="18"/>
                <w:szCs w:val="18"/>
              </w:rPr>
              <w:t>4.59</w:t>
            </w:r>
          </w:p>
        </w:tc>
        <w:tc>
          <w:tcPr>
            <w:tcW w:w="1082" w:type="dxa"/>
          </w:tcPr>
          <w:p w:rsidR="00653244" w:rsidRPr="00AD503E" w:rsidRDefault="00653244" w:rsidP="00627086">
            <w:pPr>
              <w:jc w:val="center"/>
              <w:rPr>
                <w:sz w:val="18"/>
                <w:szCs w:val="18"/>
              </w:rPr>
            </w:pPr>
            <w:r w:rsidRPr="00AD503E">
              <w:rPr>
                <w:sz w:val="18"/>
                <w:szCs w:val="18"/>
              </w:rPr>
              <w:t>457,800</w:t>
            </w:r>
          </w:p>
        </w:tc>
        <w:tc>
          <w:tcPr>
            <w:tcW w:w="1082" w:type="dxa"/>
          </w:tcPr>
          <w:p w:rsidR="00653244" w:rsidRPr="00AD503E" w:rsidRDefault="00653244" w:rsidP="00EF11A7">
            <w:pPr>
              <w:jc w:val="center"/>
              <w:rPr>
                <w:sz w:val="18"/>
                <w:szCs w:val="18"/>
              </w:rPr>
            </w:pPr>
            <w:r w:rsidRPr="00AD503E">
              <w:rPr>
                <w:sz w:val="18"/>
                <w:szCs w:val="18"/>
              </w:rPr>
              <w:t>2,884,300</w:t>
            </w:r>
          </w:p>
        </w:tc>
      </w:tr>
      <w:tr w:rsidR="00B650D2" w:rsidRPr="00954579" w:rsidTr="00AD503E">
        <w:trPr>
          <w:trHeight w:val="323"/>
        </w:trPr>
        <w:tc>
          <w:tcPr>
            <w:tcW w:w="1414" w:type="dxa"/>
          </w:tcPr>
          <w:p w:rsidR="00653244" w:rsidRPr="00AD503E" w:rsidRDefault="00653244" w:rsidP="002227DA">
            <w:pPr>
              <w:jc w:val="both"/>
              <w:rPr>
                <w:sz w:val="18"/>
                <w:szCs w:val="18"/>
              </w:rPr>
            </w:pPr>
            <w:proofErr w:type="spellStart"/>
            <w:r w:rsidRPr="00AD503E">
              <w:rPr>
                <w:sz w:val="18"/>
                <w:szCs w:val="18"/>
              </w:rPr>
              <w:t>Prov.+Probable</w:t>
            </w:r>
            <w:proofErr w:type="spellEnd"/>
          </w:p>
        </w:tc>
        <w:tc>
          <w:tcPr>
            <w:tcW w:w="998" w:type="dxa"/>
          </w:tcPr>
          <w:p w:rsidR="00653244" w:rsidRPr="00AD503E" w:rsidRDefault="00653244" w:rsidP="00627086">
            <w:pPr>
              <w:jc w:val="center"/>
              <w:rPr>
                <w:sz w:val="18"/>
                <w:szCs w:val="18"/>
              </w:rPr>
            </w:pPr>
            <w:r w:rsidRPr="00AD503E">
              <w:rPr>
                <w:sz w:val="18"/>
                <w:szCs w:val="18"/>
              </w:rPr>
              <w:t>22.52</w:t>
            </w:r>
            <w:r w:rsidR="00A900E0" w:rsidRPr="00AD503E">
              <w:rPr>
                <w:sz w:val="18"/>
                <w:szCs w:val="18"/>
              </w:rPr>
              <w:t>7</w:t>
            </w:r>
          </w:p>
        </w:tc>
        <w:tc>
          <w:tcPr>
            <w:tcW w:w="873" w:type="dxa"/>
          </w:tcPr>
          <w:p w:rsidR="00653244" w:rsidRPr="00AD503E" w:rsidRDefault="00653244" w:rsidP="00627086">
            <w:pPr>
              <w:jc w:val="center"/>
              <w:rPr>
                <w:sz w:val="18"/>
                <w:szCs w:val="18"/>
              </w:rPr>
            </w:pPr>
            <w:r w:rsidRPr="00AD503E">
              <w:rPr>
                <w:sz w:val="18"/>
                <w:szCs w:val="18"/>
              </w:rPr>
              <w:t>0.022</w:t>
            </w:r>
          </w:p>
        </w:tc>
        <w:tc>
          <w:tcPr>
            <w:tcW w:w="882" w:type="dxa"/>
          </w:tcPr>
          <w:p w:rsidR="00653244" w:rsidRPr="00AD503E" w:rsidRDefault="00653244" w:rsidP="00627086">
            <w:pPr>
              <w:jc w:val="center"/>
              <w:rPr>
                <w:sz w:val="18"/>
                <w:szCs w:val="18"/>
              </w:rPr>
            </w:pPr>
            <w:r w:rsidRPr="00AD503E">
              <w:rPr>
                <w:sz w:val="18"/>
                <w:szCs w:val="18"/>
              </w:rPr>
              <w:t>0.75</w:t>
            </w:r>
          </w:p>
        </w:tc>
        <w:tc>
          <w:tcPr>
            <w:tcW w:w="801" w:type="dxa"/>
          </w:tcPr>
          <w:p w:rsidR="00653244" w:rsidRPr="00AD503E" w:rsidRDefault="00653244" w:rsidP="00627086">
            <w:pPr>
              <w:jc w:val="center"/>
              <w:rPr>
                <w:sz w:val="18"/>
                <w:szCs w:val="18"/>
              </w:rPr>
            </w:pPr>
            <w:r w:rsidRPr="00AD503E">
              <w:rPr>
                <w:sz w:val="18"/>
                <w:szCs w:val="18"/>
              </w:rPr>
              <w:t>0.136</w:t>
            </w:r>
          </w:p>
        </w:tc>
        <w:tc>
          <w:tcPr>
            <w:tcW w:w="855" w:type="dxa"/>
          </w:tcPr>
          <w:p w:rsidR="00653244" w:rsidRPr="00AD503E" w:rsidRDefault="00653244" w:rsidP="00627086">
            <w:pPr>
              <w:jc w:val="center"/>
              <w:rPr>
                <w:sz w:val="18"/>
                <w:szCs w:val="18"/>
              </w:rPr>
            </w:pPr>
            <w:r w:rsidRPr="00AD503E">
              <w:rPr>
                <w:sz w:val="18"/>
                <w:szCs w:val="18"/>
              </w:rPr>
              <w:t>4.66</w:t>
            </w:r>
          </w:p>
        </w:tc>
        <w:tc>
          <w:tcPr>
            <w:tcW w:w="1082" w:type="dxa"/>
          </w:tcPr>
          <w:p w:rsidR="00653244" w:rsidRPr="00AD503E" w:rsidRDefault="00653244" w:rsidP="00627086">
            <w:pPr>
              <w:jc w:val="center"/>
              <w:rPr>
                <w:sz w:val="18"/>
                <w:szCs w:val="18"/>
              </w:rPr>
            </w:pPr>
            <w:r w:rsidRPr="00AD503E">
              <w:rPr>
                <w:sz w:val="18"/>
                <w:szCs w:val="18"/>
              </w:rPr>
              <w:t>487,100</w:t>
            </w:r>
          </w:p>
        </w:tc>
        <w:tc>
          <w:tcPr>
            <w:tcW w:w="1082" w:type="dxa"/>
          </w:tcPr>
          <w:p w:rsidR="00653244" w:rsidRPr="00AD503E" w:rsidRDefault="00653244" w:rsidP="00EF11A7">
            <w:pPr>
              <w:jc w:val="center"/>
              <w:rPr>
                <w:sz w:val="18"/>
                <w:szCs w:val="18"/>
              </w:rPr>
            </w:pPr>
            <w:r w:rsidRPr="00AD503E">
              <w:rPr>
                <w:sz w:val="18"/>
                <w:szCs w:val="18"/>
              </w:rPr>
              <w:t>3,028,200</w:t>
            </w:r>
          </w:p>
        </w:tc>
      </w:tr>
    </w:tbl>
    <w:p w:rsidR="00F54A12" w:rsidRPr="001B6412" w:rsidDel="00F54A12" w:rsidRDefault="003B51E4" w:rsidP="00F54A12">
      <w:pPr>
        <w:jc w:val="both"/>
        <w:rPr>
          <w:b/>
          <w:sz w:val="18"/>
          <w:szCs w:val="18"/>
        </w:rPr>
      </w:pPr>
      <w:r w:rsidRPr="001B6412">
        <w:rPr>
          <w:b/>
          <w:sz w:val="18"/>
          <w:szCs w:val="18"/>
        </w:rPr>
        <w:t>*</w:t>
      </w:r>
      <w:r w:rsidR="00F5297A">
        <w:rPr>
          <w:b/>
          <w:sz w:val="18"/>
          <w:szCs w:val="18"/>
        </w:rPr>
        <w:t>Reported s</w:t>
      </w:r>
      <w:r w:rsidRPr="001B6412">
        <w:rPr>
          <w:b/>
          <w:sz w:val="18"/>
          <w:szCs w:val="18"/>
        </w:rPr>
        <w:t xml:space="preserve">ilver </w:t>
      </w:r>
      <w:r w:rsidR="00F06268">
        <w:rPr>
          <w:b/>
          <w:sz w:val="18"/>
          <w:szCs w:val="18"/>
        </w:rPr>
        <w:t>g</w:t>
      </w:r>
      <w:r w:rsidRPr="001B6412">
        <w:rPr>
          <w:b/>
          <w:sz w:val="18"/>
          <w:szCs w:val="18"/>
        </w:rPr>
        <w:t>rade is cyanide soluble</w:t>
      </w:r>
      <w:r w:rsidR="009C0ABD">
        <w:rPr>
          <w:b/>
          <w:sz w:val="18"/>
          <w:szCs w:val="18"/>
        </w:rPr>
        <w:t>.</w:t>
      </w:r>
    </w:p>
    <w:p w:rsidR="00E47EB1" w:rsidRDefault="00E47EB1" w:rsidP="00A900E0">
      <w:pPr>
        <w:rPr>
          <w:sz w:val="22"/>
          <w:szCs w:val="22"/>
        </w:rPr>
      </w:pPr>
    </w:p>
    <w:p w:rsidR="00B81341" w:rsidRDefault="00B81341" w:rsidP="009A5853">
      <w:pPr>
        <w:jc w:val="both"/>
        <w:rPr>
          <w:sz w:val="22"/>
          <w:szCs w:val="22"/>
        </w:rPr>
      </w:pPr>
      <w:r>
        <w:rPr>
          <w:sz w:val="22"/>
          <w:szCs w:val="22"/>
        </w:rPr>
        <w:t xml:space="preserve">Mineral reserves were </w:t>
      </w:r>
      <w:r w:rsidR="000C0E92">
        <w:rPr>
          <w:sz w:val="22"/>
          <w:szCs w:val="22"/>
        </w:rPr>
        <w:t>estimated</w:t>
      </w:r>
      <w:r>
        <w:rPr>
          <w:sz w:val="22"/>
          <w:szCs w:val="22"/>
        </w:rPr>
        <w:t xml:space="preserve"> </w:t>
      </w:r>
      <w:r w:rsidR="003A718D">
        <w:rPr>
          <w:sz w:val="22"/>
          <w:szCs w:val="22"/>
        </w:rPr>
        <w:t xml:space="preserve">from a pit design </w:t>
      </w:r>
      <w:r w:rsidR="00CE764F">
        <w:rPr>
          <w:sz w:val="22"/>
          <w:szCs w:val="22"/>
        </w:rPr>
        <w:t xml:space="preserve">based </w:t>
      </w:r>
      <w:r w:rsidR="00A079A7">
        <w:rPr>
          <w:sz w:val="22"/>
          <w:szCs w:val="22"/>
        </w:rPr>
        <w:t xml:space="preserve">on </w:t>
      </w:r>
      <w:r>
        <w:rPr>
          <w:sz w:val="22"/>
          <w:szCs w:val="22"/>
        </w:rPr>
        <w:t xml:space="preserve">$1,200/oz. </w:t>
      </w:r>
      <w:r w:rsidR="008D5714">
        <w:rPr>
          <w:sz w:val="22"/>
          <w:szCs w:val="22"/>
        </w:rPr>
        <w:t xml:space="preserve">gold </w:t>
      </w:r>
      <w:r>
        <w:rPr>
          <w:sz w:val="22"/>
          <w:szCs w:val="22"/>
        </w:rPr>
        <w:t xml:space="preserve">and </w:t>
      </w:r>
      <w:r w:rsidR="00A079A7">
        <w:rPr>
          <w:sz w:val="22"/>
          <w:szCs w:val="22"/>
        </w:rPr>
        <w:t xml:space="preserve">$20/oz. </w:t>
      </w:r>
      <w:r w:rsidR="0096048C">
        <w:rPr>
          <w:sz w:val="22"/>
          <w:szCs w:val="22"/>
        </w:rPr>
        <w:t>silver price</w:t>
      </w:r>
      <w:r w:rsidR="00BA7678">
        <w:rPr>
          <w:sz w:val="22"/>
          <w:szCs w:val="22"/>
        </w:rPr>
        <w:t>s</w:t>
      </w:r>
      <w:r w:rsidR="0096048C">
        <w:rPr>
          <w:sz w:val="22"/>
          <w:szCs w:val="22"/>
        </w:rPr>
        <w:t xml:space="preserve">.  </w:t>
      </w:r>
      <w:r w:rsidR="005266DD">
        <w:rPr>
          <w:sz w:val="22"/>
          <w:szCs w:val="22"/>
        </w:rPr>
        <w:t xml:space="preserve">The cutoff grade used to estimate reserves </w:t>
      </w:r>
      <w:r w:rsidR="00BF227B">
        <w:rPr>
          <w:sz w:val="22"/>
          <w:szCs w:val="22"/>
        </w:rPr>
        <w:t xml:space="preserve">was </w:t>
      </w:r>
      <w:r>
        <w:rPr>
          <w:sz w:val="22"/>
          <w:szCs w:val="22"/>
        </w:rPr>
        <w:t>0.006 oz/t gold</w:t>
      </w:r>
      <w:r w:rsidR="00F54A12">
        <w:rPr>
          <w:sz w:val="22"/>
          <w:szCs w:val="22"/>
        </w:rPr>
        <w:t xml:space="preserve"> equivalent</w:t>
      </w:r>
      <w:r>
        <w:rPr>
          <w:sz w:val="22"/>
          <w:szCs w:val="22"/>
        </w:rPr>
        <w:t xml:space="preserve"> </w:t>
      </w:r>
      <w:r w:rsidR="0096048C">
        <w:rPr>
          <w:sz w:val="22"/>
          <w:szCs w:val="22"/>
        </w:rPr>
        <w:t>(</w:t>
      </w:r>
      <w:r w:rsidR="00BF227B">
        <w:rPr>
          <w:sz w:val="22"/>
          <w:szCs w:val="22"/>
        </w:rPr>
        <w:t>0.20 gr</w:t>
      </w:r>
      <w:r w:rsidR="008D5714">
        <w:rPr>
          <w:sz w:val="22"/>
          <w:szCs w:val="22"/>
        </w:rPr>
        <w:t>ams</w:t>
      </w:r>
      <w:r w:rsidR="00BF227B">
        <w:rPr>
          <w:sz w:val="22"/>
          <w:szCs w:val="22"/>
        </w:rPr>
        <w:t>/</w:t>
      </w:r>
      <w:proofErr w:type="spellStart"/>
      <w:r w:rsidR="00BF227B">
        <w:rPr>
          <w:sz w:val="22"/>
          <w:szCs w:val="22"/>
        </w:rPr>
        <w:t>tonne</w:t>
      </w:r>
      <w:proofErr w:type="spellEnd"/>
      <w:r w:rsidR="00BF227B">
        <w:rPr>
          <w:sz w:val="22"/>
          <w:szCs w:val="22"/>
        </w:rPr>
        <w:t>)</w:t>
      </w:r>
      <w:r w:rsidR="00452588">
        <w:rPr>
          <w:sz w:val="22"/>
          <w:szCs w:val="22"/>
        </w:rPr>
        <w:t xml:space="preserve"> and is </w:t>
      </w:r>
      <w:r w:rsidR="00452588" w:rsidRPr="000D6A3E">
        <w:t xml:space="preserve">the internal </w:t>
      </w:r>
      <w:r w:rsidR="00653244">
        <w:t>cutoff grade</w:t>
      </w:r>
      <w:r w:rsidR="008D5714">
        <w:t>.</w:t>
      </w:r>
      <w:r w:rsidR="00452588">
        <w:t xml:space="preserve"> </w:t>
      </w:r>
      <w:r>
        <w:rPr>
          <w:sz w:val="22"/>
          <w:szCs w:val="22"/>
        </w:rPr>
        <w:t xml:space="preserve"> </w:t>
      </w:r>
      <w:r w:rsidR="00954579">
        <w:rPr>
          <w:sz w:val="22"/>
          <w:szCs w:val="22"/>
        </w:rPr>
        <w:t xml:space="preserve">Multiple pit scenarios were evaluated </w:t>
      </w:r>
      <w:r w:rsidR="000E2478">
        <w:rPr>
          <w:sz w:val="22"/>
          <w:szCs w:val="22"/>
        </w:rPr>
        <w:t xml:space="preserve">using these criteria </w:t>
      </w:r>
      <w:r w:rsidR="00954579">
        <w:rPr>
          <w:sz w:val="22"/>
          <w:szCs w:val="22"/>
        </w:rPr>
        <w:t>under a range of gold prices to determine the most favorable pit design for both optimal resource extraction and cash flow.</w:t>
      </w:r>
      <w:r>
        <w:rPr>
          <w:sz w:val="22"/>
          <w:szCs w:val="22"/>
        </w:rPr>
        <w:t xml:space="preserve">  </w:t>
      </w:r>
    </w:p>
    <w:p w:rsidR="000627FB" w:rsidRDefault="000627FB" w:rsidP="00A900E0">
      <w:pPr>
        <w:rPr>
          <w:sz w:val="22"/>
          <w:szCs w:val="22"/>
        </w:rPr>
      </w:pPr>
    </w:p>
    <w:p w:rsidR="00307E51" w:rsidRDefault="009C0ABD" w:rsidP="00307E51">
      <w:pPr>
        <w:pStyle w:val="TableTitle"/>
        <w:spacing w:before="0" w:after="0"/>
        <w:ind w:hanging="655"/>
        <w:jc w:val="center"/>
        <w:rPr>
          <w:rFonts w:ascii="Times New Roman" w:hAnsi="Times New Roman"/>
          <w:sz w:val="24"/>
          <w:szCs w:val="24"/>
        </w:rPr>
      </w:pPr>
      <w:r w:rsidRPr="00924E55">
        <w:rPr>
          <w:rFonts w:ascii="Times New Roman" w:hAnsi="Times New Roman"/>
          <w:sz w:val="24"/>
          <w:szCs w:val="24"/>
        </w:rPr>
        <w:t>Mineral Resource Statement</w:t>
      </w:r>
      <w:r w:rsidR="00D12E29">
        <w:rPr>
          <w:rFonts w:ascii="Times New Roman" w:hAnsi="Times New Roman"/>
          <w:sz w:val="24"/>
          <w:szCs w:val="24"/>
        </w:rPr>
        <w:t>,</w:t>
      </w:r>
      <w:r w:rsidRPr="00924E55">
        <w:rPr>
          <w:rFonts w:ascii="Times New Roman" w:hAnsi="Times New Roman"/>
          <w:sz w:val="24"/>
          <w:szCs w:val="24"/>
        </w:rPr>
        <w:t xml:space="preserve"> Centennial Gold-Silver Deposit,</w:t>
      </w:r>
    </w:p>
    <w:p w:rsidR="009C0ABD" w:rsidRDefault="009C0ABD" w:rsidP="00307E51">
      <w:pPr>
        <w:pStyle w:val="TableTitle"/>
        <w:spacing w:before="0" w:after="0"/>
        <w:ind w:hanging="655"/>
        <w:jc w:val="center"/>
        <w:rPr>
          <w:rFonts w:ascii="Times New Roman" w:hAnsi="Times New Roman"/>
          <w:sz w:val="24"/>
          <w:szCs w:val="24"/>
        </w:rPr>
      </w:pPr>
      <w:proofErr w:type="gramStart"/>
      <w:r w:rsidRPr="00924E55">
        <w:rPr>
          <w:rFonts w:ascii="Times New Roman" w:hAnsi="Times New Roman"/>
          <w:sz w:val="24"/>
          <w:szCs w:val="24"/>
        </w:rPr>
        <w:t>White Pine</w:t>
      </w:r>
      <w:r w:rsidR="00307E51">
        <w:rPr>
          <w:rFonts w:ascii="Times New Roman" w:hAnsi="Times New Roman"/>
          <w:sz w:val="24"/>
          <w:szCs w:val="24"/>
        </w:rPr>
        <w:t xml:space="preserve"> C</w:t>
      </w:r>
      <w:r w:rsidRPr="00924E55">
        <w:rPr>
          <w:rFonts w:ascii="Times New Roman" w:hAnsi="Times New Roman"/>
          <w:sz w:val="24"/>
          <w:szCs w:val="24"/>
        </w:rPr>
        <w:t>ounty, Nevada, SRK Consulting (Inc.)</w:t>
      </w:r>
      <w:proofErr w:type="gramEnd"/>
    </w:p>
    <w:p w:rsidR="00307E51" w:rsidRPr="00307E51" w:rsidRDefault="00307E51" w:rsidP="00307E51">
      <w:pPr>
        <w:pStyle w:val="BodyText"/>
        <w:spacing w:after="0"/>
      </w:pPr>
    </w:p>
    <w:tbl>
      <w:tblPr>
        <w:tblW w:w="0" w:type="auto"/>
        <w:tblBorders>
          <w:top w:val="single" w:sz="4" w:space="0" w:color="auto"/>
          <w:left w:val="single" w:sz="4" w:space="0" w:color="auto"/>
          <w:bottom w:val="single" w:sz="4" w:space="0" w:color="auto"/>
          <w:right w:val="single" w:sz="4" w:space="0" w:color="auto"/>
          <w:insideV w:val="single" w:sz="6" w:space="0" w:color="auto"/>
        </w:tblBorders>
        <w:tblLayout w:type="fixed"/>
        <w:tblLook w:val="04A0"/>
      </w:tblPr>
      <w:tblGrid>
        <w:gridCol w:w="1644"/>
        <w:gridCol w:w="1023"/>
        <w:gridCol w:w="1291"/>
        <w:gridCol w:w="1463"/>
        <w:gridCol w:w="1377"/>
        <w:gridCol w:w="1635"/>
      </w:tblGrid>
      <w:tr w:rsidR="00733BE6" w:rsidRPr="00733BE6" w:rsidTr="00AD503E">
        <w:trPr>
          <w:trHeight w:val="222"/>
        </w:trPr>
        <w:tc>
          <w:tcPr>
            <w:tcW w:w="1644" w:type="dxa"/>
            <w:tcBorders>
              <w:top w:val="single" w:sz="4" w:space="0" w:color="auto"/>
              <w:bottom w:val="single" w:sz="4" w:space="0" w:color="auto"/>
            </w:tcBorders>
            <w:shd w:val="clear" w:color="auto" w:fill="auto"/>
            <w:noWrap/>
            <w:vAlign w:val="center"/>
            <w:hideMark/>
          </w:tcPr>
          <w:p w:rsidR="009C0ABD" w:rsidRPr="00AD503E" w:rsidRDefault="009C0ABD" w:rsidP="00532ACA">
            <w:pPr>
              <w:pStyle w:val="TableText"/>
              <w:rPr>
                <w:rFonts w:ascii="Times New Roman" w:hAnsi="Times New Roman"/>
                <w:b/>
                <w:szCs w:val="18"/>
              </w:rPr>
            </w:pPr>
            <w:r w:rsidRPr="00AD503E">
              <w:rPr>
                <w:rFonts w:ascii="Times New Roman" w:hAnsi="Times New Roman"/>
                <w:b/>
                <w:szCs w:val="18"/>
              </w:rPr>
              <w:t>Resource Category</w:t>
            </w:r>
          </w:p>
        </w:tc>
        <w:tc>
          <w:tcPr>
            <w:tcW w:w="1023" w:type="dxa"/>
            <w:tcBorders>
              <w:top w:val="single" w:sz="4" w:space="0" w:color="auto"/>
              <w:bottom w:val="single" w:sz="4" w:space="0" w:color="auto"/>
            </w:tcBorders>
            <w:shd w:val="clear" w:color="auto" w:fill="auto"/>
            <w:noWrap/>
            <w:vAlign w:val="center"/>
            <w:hideMark/>
          </w:tcPr>
          <w:p w:rsidR="009C0ABD" w:rsidRPr="00AD503E" w:rsidRDefault="009C0ABD" w:rsidP="00307E51">
            <w:pPr>
              <w:pStyle w:val="TableText"/>
              <w:jc w:val="center"/>
              <w:rPr>
                <w:rFonts w:ascii="Times New Roman" w:hAnsi="Times New Roman"/>
                <w:b/>
                <w:szCs w:val="18"/>
              </w:rPr>
            </w:pPr>
            <w:r w:rsidRPr="00AD503E">
              <w:rPr>
                <w:rFonts w:ascii="Times New Roman" w:hAnsi="Times New Roman"/>
                <w:b/>
                <w:szCs w:val="18"/>
              </w:rPr>
              <w:t>Tons</w:t>
            </w:r>
          </w:p>
          <w:p w:rsidR="009C0ABD" w:rsidRPr="00AD503E" w:rsidRDefault="009C0ABD" w:rsidP="00307E51">
            <w:pPr>
              <w:pStyle w:val="TableText"/>
              <w:jc w:val="center"/>
              <w:rPr>
                <w:rFonts w:ascii="Times New Roman" w:hAnsi="Times New Roman"/>
                <w:b/>
                <w:szCs w:val="18"/>
              </w:rPr>
            </w:pPr>
            <w:r w:rsidRPr="00AD503E">
              <w:rPr>
                <w:rFonts w:ascii="Times New Roman" w:hAnsi="Times New Roman"/>
                <w:b/>
                <w:szCs w:val="18"/>
              </w:rPr>
              <w:t>(000’s)</w:t>
            </w:r>
          </w:p>
        </w:tc>
        <w:tc>
          <w:tcPr>
            <w:tcW w:w="1291" w:type="dxa"/>
            <w:tcBorders>
              <w:top w:val="single" w:sz="4" w:space="0" w:color="auto"/>
              <w:bottom w:val="single" w:sz="4" w:space="0" w:color="auto"/>
            </w:tcBorders>
            <w:shd w:val="clear" w:color="auto" w:fill="auto"/>
            <w:noWrap/>
            <w:vAlign w:val="center"/>
            <w:hideMark/>
          </w:tcPr>
          <w:p w:rsidR="009C0ABD" w:rsidRPr="00AD503E" w:rsidRDefault="00924E55" w:rsidP="00307E51">
            <w:pPr>
              <w:pStyle w:val="TableText"/>
              <w:jc w:val="center"/>
              <w:rPr>
                <w:rFonts w:ascii="Times New Roman" w:hAnsi="Times New Roman"/>
                <w:b/>
                <w:szCs w:val="18"/>
              </w:rPr>
            </w:pPr>
            <w:r w:rsidRPr="00AD503E">
              <w:rPr>
                <w:rFonts w:ascii="Times New Roman" w:hAnsi="Times New Roman"/>
                <w:b/>
                <w:szCs w:val="18"/>
              </w:rPr>
              <w:t>Gold</w:t>
            </w:r>
            <w:r w:rsidR="00307E51" w:rsidRPr="00AD503E">
              <w:rPr>
                <w:rFonts w:ascii="Times New Roman" w:hAnsi="Times New Roman"/>
                <w:b/>
                <w:szCs w:val="18"/>
              </w:rPr>
              <w:t xml:space="preserve"> </w:t>
            </w:r>
            <w:r w:rsidR="009C0ABD" w:rsidRPr="00AD503E">
              <w:rPr>
                <w:rFonts w:ascii="Times New Roman" w:hAnsi="Times New Roman"/>
                <w:b/>
                <w:szCs w:val="18"/>
              </w:rPr>
              <w:t>Grade</w:t>
            </w:r>
          </w:p>
          <w:p w:rsidR="009C0ABD" w:rsidRPr="00AD503E" w:rsidRDefault="009C0ABD" w:rsidP="00307E51">
            <w:pPr>
              <w:pStyle w:val="TableText"/>
              <w:jc w:val="center"/>
              <w:rPr>
                <w:rFonts w:ascii="Times New Roman" w:hAnsi="Times New Roman"/>
                <w:b/>
                <w:szCs w:val="18"/>
              </w:rPr>
            </w:pPr>
            <w:r w:rsidRPr="00AD503E">
              <w:rPr>
                <w:rFonts w:ascii="Times New Roman" w:hAnsi="Times New Roman"/>
                <w:b/>
                <w:szCs w:val="18"/>
              </w:rPr>
              <w:t>(oz/t)</w:t>
            </w:r>
          </w:p>
        </w:tc>
        <w:tc>
          <w:tcPr>
            <w:tcW w:w="1463" w:type="dxa"/>
            <w:tcBorders>
              <w:top w:val="single" w:sz="4" w:space="0" w:color="auto"/>
              <w:bottom w:val="single" w:sz="4" w:space="0" w:color="auto"/>
            </w:tcBorders>
            <w:shd w:val="clear" w:color="auto" w:fill="auto"/>
            <w:noWrap/>
            <w:vAlign w:val="center"/>
            <w:hideMark/>
          </w:tcPr>
          <w:p w:rsidR="009C0ABD" w:rsidRPr="00AD503E" w:rsidRDefault="009C0ABD" w:rsidP="00307E51">
            <w:pPr>
              <w:pStyle w:val="TableText"/>
              <w:jc w:val="center"/>
              <w:rPr>
                <w:rFonts w:ascii="Times New Roman" w:hAnsi="Times New Roman"/>
                <w:b/>
                <w:szCs w:val="18"/>
              </w:rPr>
            </w:pPr>
            <w:r w:rsidRPr="00AD503E">
              <w:rPr>
                <w:rFonts w:ascii="Times New Roman" w:hAnsi="Times New Roman"/>
                <w:b/>
                <w:szCs w:val="18"/>
              </w:rPr>
              <w:t xml:space="preserve">Contained </w:t>
            </w:r>
            <w:r w:rsidR="00924E55" w:rsidRPr="00AD503E">
              <w:rPr>
                <w:rFonts w:ascii="Times New Roman" w:hAnsi="Times New Roman"/>
                <w:b/>
                <w:szCs w:val="18"/>
              </w:rPr>
              <w:t>Gold</w:t>
            </w:r>
            <w:r w:rsidRPr="00AD503E">
              <w:rPr>
                <w:rFonts w:ascii="Times New Roman" w:hAnsi="Times New Roman"/>
                <w:b/>
                <w:szCs w:val="18"/>
              </w:rPr>
              <w:t>(oz)</w:t>
            </w:r>
          </w:p>
        </w:tc>
        <w:tc>
          <w:tcPr>
            <w:tcW w:w="1377" w:type="dxa"/>
            <w:tcBorders>
              <w:top w:val="single" w:sz="4" w:space="0" w:color="auto"/>
              <w:bottom w:val="single" w:sz="4" w:space="0" w:color="auto"/>
            </w:tcBorders>
            <w:shd w:val="clear" w:color="auto" w:fill="auto"/>
            <w:noWrap/>
            <w:vAlign w:val="center"/>
            <w:hideMark/>
          </w:tcPr>
          <w:p w:rsidR="009C0ABD" w:rsidRPr="00AD503E" w:rsidRDefault="00924E55" w:rsidP="00307E51">
            <w:pPr>
              <w:pStyle w:val="TableText"/>
              <w:jc w:val="center"/>
              <w:rPr>
                <w:rFonts w:ascii="Times New Roman" w:hAnsi="Times New Roman"/>
                <w:b/>
                <w:szCs w:val="18"/>
              </w:rPr>
            </w:pPr>
            <w:r w:rsidRPr="00AD503E">
              <w:rPr>
                <w:rFonts w:ascii="Times New Roman" w:hAnsi="Times New Roman"/>
                <w:b/>
                <w:szCs w:val="18"/>
              </w:rPr>
              <w:t>Silver</w:t>
            </w:r>
            <w:r w:rsidR="009C0ABD" w:rsidRPr="00AD503E">
              <w:rPr>
                <w:rFonts w:ascii="Times New Roman" w:hAnsi="Times New Roman"/>
                <w:b/>
                <w:szCs w:val="18"/>
              </w:rPr>
              <w:t xml:space="preserve"> Grade</w:t>
            </w:r>
          </w:p>
          <w:p w:rsidR="009C0ABD" w:rsidRPr="00AD503E" w:rsidRDefault="009C0ABD" w:rsidP="00307E51">
            <w:pPr>
              <w:pStyle w:val="TableText"/>
              <w:jc w:val="center"/>
              <w:rPr>
                <w:rFonts w:ascii="Times New Roman" w:hAnsi="Times New Roman"/>
                <w:b/>
                <w:szCs w:val="18"/>
              </w:rPr>
            </w:pPr>
            <w:r w:rsidRPr="00AD503E">
              <w:rPr>
                <w:rFonts w:ascii="Times New Roman" w:hAnsi="Times New Roman"/>
                <w:b/>
                <w:szCs w:val="18"/>
              </w:rPr>
              <w:t>(oz/t)</w:t>
            </w:r>
          </w:p>
        </w:tc>
        <w:tc>
          <w:tcPr>
            <w:tcW w:w="1635" w:type="dxa"/>
            <w:tcBorders>
              <w:top w:val="single" w:sz="4" w:space="0" w:color="auto"/>
              <w:bottom w:val="single" w:sz="4" w:space="0" w:color="auto"/>
            </w:tcBorders>
            <w:shd w:val="clear" w:color="auto" w:fill="auto"/>
            <w:noWrap/>
            <w:vAlign w:val="center"/>
            <w:hideMark/>
          </w:tcPr>
          <w:p w:rsidR="009C0ABD" w:rsidRPr="00AD503E" w:rsidRDefault="009C0ABD" w:rsidP="00307E51">
            <w:pPr>
              <w:pStyle w:val="TableText"/>
              <w:jc w:val="center"/>
              <w:rPr>
                <w:rFonts w:ascii="Times New Roman" w:hAnsi="Times New Roman"/>
                <w:b/>
                <w:szCs w:val="18"/>
              </w:rPr>
            </w:pPr>
            <w:r w:rsidRPr="00AD503E">
              <w:rPr>
                <w:rFonts w:ascii="Times New Roman" w:hAnsi="Times New Roman"/>
                <w:b/>
                <w:szCs w:val="18"/>
              </w:rPr>
              <w:t xml:space="preserve">Recoverable </w:t>
            </w:r>
            <w:r w:rsidR="00924E55" w:rsidRPr="00AD503E">
              <w:rPr>
                <w:rFonts w:ascii="Times New Roman" w:hAnsi="Times New Roman"/>
                <w:b/>
                <w:szCs w:val="18"/>
              </w:rPr>
              <w:t>Silver</w:t>
            </w:r>
            <w:r w:rsidRPr="00AD503E">
              <w:rPr>
                <w:rFonts w:ascii="Times New Roman" w:hAnsi="Times New Roman"/>
                <w:b/>
                <w:szCs w:val="18"/>
              </w:rPr>
              <w:t>(oz)*</w:t>
            </w:r>
          </w:p>
        </w:tc>
      </w:tr>
      <w:tr w:rsidR="00733BE6" w:rsidRPr="00733BE6" w:rsidTr="00AD503E">
        <w:trPr>
          <w:trHeight w:val="222"/>
        </w:trPr>
        <w:tc>
          <w:tcPr>
            <w:tcW w:w="1644" w:type="dxa"/>
            <w:tcBorders>
              <w:top w:val="single" w:sz="4" w:space="0" w:color="auto"/>
            </w:tcBorders>
            <w:shd w:val="clear" w:color="auto" w:fill="auto"/>
            <w:noWrap/>
            <w:vAlign w:val="center"/>
            <w:hideMark/>
          </w:tcPr>
          <w:p w:rsidR="009C0ABD" w:rsidRPr="00AD503E" w:rsidRDefault="009C0ABD" w:rsidP="00532ACA">
            <w:pPr>
              <w:pStyle w:val="TableText"/>
              <w:rPr>
                <w:rFonts w:ascii="Times New Roman" w:hAnsi="Times New Roman"/>
                <w:szCs w:val="18"/>
              </w:rPr>
            </w:pPr>
            <w:r w:rsidRPr="00AD503E">
              <w:rPr>
                <w:rFonts w:ascii="Times New Roman" w:hAnsi="Times New Roman"/>
                <w:szCs w:val="18"/>
              </w:rPr>
              <w:t>Measured</w:t>
            </w:r>
          </w:p>
        </w:tc>
        <w:tc>
          <w:tcPr>
            <w:tcW w:w="1023" w:type="dxa"/>
            <w:tcBorders>
              <w:top w:val="single" w:sz="4" w:space="0" w:color="auto"/>
            </w:tcBorders>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918</w:t>
            </w:r>
          </w:p>
        </w:tc>
        <w:tc>
          <w:tcPr>
            <w:tcW w:w="1291" w:type="dxa"/>
            <w:tcBorders>
              <w:top w:val="single" w:sz="4" w:space="0" w:color="auto"/>
            </w:tcBorders>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0.032</w:t>
            </w:r>
          </w:p>
        </w:tc>
        <w:tc>
          <w:tcPr>
            <w:tcW w:w="1463" w:type="dxa"/>
            <w:tcBorders>
              <w:top w:val="single" w:sz="4" w:space="0" w:color="auto"/>
            </w:tcBorders>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29,524</w:t>
            </w:r>
          </w:p>
        </w:tc>
        <w:tc>
          <w:tcPr>
            <w:tcW w:w="1377" w:type="dxa"/>
            <w:tcBorders>
              <w:top w:val="single" w:sz="4" w:space="0" w:color="auto"/>
            </w:tcBorders>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0.155</w:t>
            </w:r>
          </w:p>
        </w:tc>
        <w:tc>
          <w:tcPr>
            <w:tcW w:w="1635" w:type="dxa"/>
            <w:tcBorders>
              <w:top w:val="single" w:sz="4" w:space="0" w:color="auto"/>
            </w:tcBorders>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142,152</w:t>
            </w:r>
          </w:p>
        </w:tc>
      </w:tr>
      <w:tr w:rsidR="00733BE6" w:rsidRPr="00733BE6" w:rsidTr="00AD503E">
        <w:trPr>
          <w:trHeight w:val="222"/>
        </w:trPr>
        <w:tc>
          <w:tcPr>
            <w:tcW w:w="1644" w:type="dxa"/>
            <w:shd w:val="clear" w:color="auto" w:fill="auto"/>
            <w:noWrap/>
            <w:vAlign w:val="center"/>
            <w:hideMark/>
          </w:tcPr>
          <w:p w:rsidR="009C0ABD" w:rsidRPr="00AD503E" w:rsidRDefault="009C0ABD" w:rsidP="00532ACA">
            <w:pPr>
              <w:pStyle w:val="TableText"/>
              <w:rPr>
                <w:rFonts w:ascii="Times New Roman" w:hAnsi="Times New Roman"/>
                <w:szCs w:val="18"/>
              </w:rPr>
            </w:pPr>
            <w:r w:rsidRPr="00AD503E">
              <w:rPr>
                <w:rFonts w:ascii="Times New Roman" w:hAnsi="Times New Roman"/>
                <w:szCs w:val="18"/>
              </w:rPr>
              <w:t>Indicated</w:t>
            </w:r>
          </w:p>
        </w:tc>
        <w:tc>
          <w:tcPr>
            <w:tcW w:w="1023"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22,732</w:t>
            </w:r>
          </w:p>
        </w:tc>
        <w:tc>
          <w:tcPr>
            <w:tcW w:w="1291"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0.022</w:t>
            </w:r>
          </w:p>
        </w:tc>
        <w:tc>
          <w:tcPr>
            <w:tcW w:w="1463"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497,330</w:t>
            </w:r>
          </w:p>
        </w:tc>
        <w:tc>
          <w:tcPr>
            <w:tcW w:w="1377"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0.132</w:t>
            </w:r>
          </w:p>
        </w:tc>
        <w:tc>
          <w:tcPr>
            <w:tcW w:w="1635"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3,010,471</w:t>
            </w:r>
          </w:p>
        </w:tc>
      </w:tr>
      <w:tr w:rsidR="00733BE6" w:rsidRPr="00733BE6" w:rsidTr="00AD503E">
        <w:trPr>
          <w:trHeight w:val="222"/>
        </w:trPr>
        <w:tc>
          <w:tcPr>
            <w:tcW w:w="1644" w:type="dxa"/>
            <w:shd w:val="clear" w:color="auto" w:fill="auto"/>
            <w:noWrap/>
            <w:vAlign w:val="center"/>
            <w:hideMark/>
          </w:tcPr>
          <w:p w:rsidR="009C0ABD" w:rsidRPr="00AD503E" w:rsidRDefault="009C0ABD" w:rsidP="00532ACA">
            <w:pPr>
              <w:pStyle w:val="TableText"/>
              <w:rPr>
                <w:rFonts w:ascii="Times New Roman" w:hAnsi="Times New Roman"/>
                <w:b/>
                <w:szCs w:val="18"/>
              </w:rPr>
            </w:pPr>
            <w:r w:rsidRPr="00AD503E">
              <w:rPr>
                <w:rFonts w:ascii="Times New Roman" w:hAnsi="Times New Roman"/>
                <w:b/>
                <w:szCs w:val="18"/>
              </w:rPr>
              <w:t>Measured and Indicated</w:t>
            </w:r>
          </w:p>
        </w:tc>
        <w:tc>
          <w:tcPr>
            <w:tcW w:w="1023" w:type="dxa"/>
            <w:shd w:val="clear" w:color="auto" w:fill="auto"/>
            <w:noWrap/>
            <w:hideMark/>
          </w:tcPr>
          <w:p w:rsidR="009C0ABD" w:rsidRPr="00AD503E" w:rsidRDefault="009C0ABD" w:rsidP="00AD503E">
            <w:pPr>
              <w:pStyle w:val="TableText"/>
              <w:jc w:val="center"/>
              <w:rPr>
                <w:rFonts w:ascii="Times New Roman" w:hAnsi="Times New Roman"/>
                <w:b/>
                <w:szCs w:val="18"/>
              </w:rPr>
            </w:pPr>
            <w:r w:rsidRPr="00AD503E">
              <w:rPr>
                <w:rFonts w:ascii="Times New Roman" w:hAnsi="Times New Roman"/>
                <w:b/>
                <w:szCs w:val="18"/>
              </w:rPr>
              <w:t>23,650</w:t>
            </w:r>
          </w:p>
        </w:tc>
        <w:tc>
          <w:tcPr>
            <w:tcW w:w="1291" w:type="dxa"/>
            <w:shd w:val="clear" w:color="auto" w:fill="auto"/>
            <w:noWrap/>
            <w:hideMark/>
          </w:tcPr>
          <w:p w:rsidR="009C0ABD" w:rsidRPr="00AD503E" w:rsidRDefault="009C0ABD" w:rsidP="00AD503E">
            <w:pPr>
              <w:pStyle w:val="TableText"/>
              <w:jc w:val="center"/>
              <w:rPr>
                <w:rFonts w:ascii="Times New Roman" w:hAnsi="Times New Roman"/>
                <w:b/>
                <w:szCs w:val="18"/>
              </w:rPr>
            </w:pPr>
            <w:r w:rsidRPr="00AD503E">
              <w:rPr>
                <w:rFonts w:ascii="Times New Roman" w:hAnsi="Times New Roman"/>
                <w:b/>
                <w:szCs w:val="18"/>
              </w:rPr>
              <w:t>0.022</w:t>
            </w:r>
          </w:p>
        </w:tc>
        <w:tc>
          <w:tcPr>
            <w:tcW w:w="1463" w:type="dxa"/>
            <w:shd w:val="clear" w:color="auto" w:fill="auto"/>
            <w:noWrap/>
            <w:hideMark/>
          </w:tcPr>
          <w:p w:rsidR="009C0ABD" w:rsidRPr="00AD503E" w:rsidRDefault="009C0ABD" w:rsidP="00AD503E">
            <w:pPr>
              <w:pStyle w:val="TableText"/>
              <w:jc w:val="center"/>
              <w:rPr>
                <w:rFonts w:ascii="Times New Roman" w:hAnsi="Times New Roman"/>
                <w:b/>
                <w:szCs w:val="18"/>
              </w:rPr>
            </w:pPr>
            <w:r w:rsidRPr="00AD503E">
              <w:rPr>
                <w:rFonts w:ascii="Times New Roman" w:hAnsi="Times New Roman"/>
                <w:b/>
                <w:szCs w:val="18"/>
              </w:rPr>
              <w:t>526,854</w:t>
            </w:r>
          </w:p>
        </w:tc>
        <w:tc>
          <w:tcPr>
            <w:tcW w:w="1377" w:type="dxa"/>
            <w:shd w:val="clear" w:color="auto" w:fill="auto"/>
            <w:noWrap/>
            <w:hideMark/>
          </w:tcPr>
          <w:p w:rsidR="009C0ABD" w:rsidRPr="00AD503E" w:rsidRDefault="009C0ABD" w:rsidP="00AD503E">
            <w:pPr>
              <w:pStyle w:val="TableText"/>
              <w:jc w:val="center"/>
              <w:rPr>
                <w:rFonts w:ascii="Times New Roman" w:hAnsi="Times New Roman"/>
                <w:b/>
                <w:szCs w:val="18"/>
              </w:rPr>
            </w:pPr>
            <w:r w:rsidRPr="00AD503E">
              <w:rPr>
                <w:rFonts w:ascii="Times New Roman" w:hAnsi="Times New Roman"/>
                <w:b/>
                <w:szCs w:val="18"/>
              </w:rPr>
              <w:t>0.133</w:t>
            </w:r>
          </w:p>
        </w:tc>
        <w:tc>
          <w:tcPr>
            <w:tcW w:w="1635" w:type="dxa"/>
            <w:shd w:val="clear" w:color="auto" w:fill="auto"/>
            <w:noWrap/>
            <w:hideMark/>
          </w:tcPr>
          <w:p w:rsidR="009C0ABD" w:rsidRPr="00AD503E" w:rsidRDefault="009C0ABD" w:rsidP="00AD503E">
            <w:pPr>
              <w:pStyle w:val="TableText"/>
              <w:jc w:val="center"/>
              <w:rPr>
                <w:rFonts w:ascii="Times New Roman" w:hAnsi="Times New Roman"/>
                <w:b/>
                <w:szCs w:val="18"/>
              </w:rPr>
            </w:pPr>
            <w:r w:rsidRPr="00AD503E">
              <w:rPr>
                <w:rFonts w:ascii="Times New Roman" w:hAnsi="Times New Roman"/>
                <w:b/>
                <w:szCs w:val="18"/>
              </w:rPr>
              <w:t>3,152,624</w:t>
            </w:r>
          </w:p>
        </w:tc>
      </w:tr>
      <w:tr w:rsidR="00733BE6" w:rsidRPr="00733BE6" w:rsidTr="00AD503E">
        <w:trPr>
          <w:trHeight w:val="222"/>
        </w:trPr>
        <w:tc>
          <w:tcPr>
            <w:tcW w:w="1644" w:type="dxa"/>
            <w:shd w:val="clear" w:color="auto" w:fill="auto"/>
            <w:noWrap/>
            <w:vAlign w:val="center"/>
            <w:hideMark/>
          </w:tcPr>
          <w:p w:rsidR="009C0ABD" w:rsidRPr="00AD503E" w:rsidRDefault="009C0ABD" w:rsidP="00532ACA">
            <w:pPr>
              <w:pStyle w:val="TableText"/>
              <w:rPr>
                <w:rFonts w:ascii="Times New Roman" w:hAnsi="Times New Roman"/>
                <w:szCs w:val="18"/>
              </w:rPr>
            </w:pPr>
            <w:r w:rsidRPr="00AD503E">
              <w:rPr>
                <w:rFonts w:ascii="Times New Roman" w:hAnsi="Times New Roman"/>
                <w:szCs w:val="18"/>
              </w:rPr>
              <w:t>Inferred</w:t>
            </w:r>
          </w:p>
        </w:tc>
        <w:tc>
          <w:tcPr>
            <w:tcW w:w="1023"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3,454</w:t>
            </w:r>
          </w:p>
        </w:tc>
        <w:tc>
          <w:tcPr>
            <w:tcW w:w="1291"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0.018</w:t>
            </w:r>
          </w:p>
        </w:tc>
        <w:tc>
          <w:tcPr>
            <w:tcW w:w="1463"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60,859</w:t>
            </w:r>
          </w:p>
        </w:tc>
        <w:tc>
          <w:tcPr>
            <w:tcW w:w="1377"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0.079</w:t>
            </w:r>
          </w:p>
        </w:tc>
        <w:tc>
          <w:tcPr>
            <w:tcW w:w="1635" w:type="dxa"/>
            <w:shd w:val="clear" w:color="auto" w:fill="auto"/>
            <w:noWrap/>
            <w:hideMark/>
          </w:tcPr>
          <w:p w:rsidR="009C0ABD" w:rsidRPr="00AD503E" w:rsidRDefault="009C0ABD" w:rsidP="00AD503E">
            <w:pPr>
              <w:pStyle w:val="TableText"/>
              <w:jc w:val="center"/>
              <w:rPr>
                <w:rFonts w:ascii="Times New Roman" w:hAnsi="Times New Roman"/>
                <w:szCs w:val="18"/>
              </w:rPr>
            </w:pPr>
            <w:r w:rsidRPr="00AD503E">
              <w:rPr>
                <w:rFonts w:ascii="Times New Roman" w:hAnsi="Times New Roman"/>
                <w:szCs w:val="18"/>
              </w:rPr>
              <w:t>273,457</w:t>
            </w:r>
          </w:p>
        </w:tc>
      </w:tr>
    </w:tbl>
    <w:p w:rsidR="002D7874" w:rsidRPr="002D7874" w:rsidRDefault="002D7874" w:rsidP="00D0724B">
      <w:pPr>
        <w:pStyle w:val="SourceCaption"/>
        <w:numPr>
          <w:ilvl w:val="0"/>
          <w:numId w:val="5"/>
        </w:numPr>
        <w:rPr>
          <w:rFonts w:ascii="Times New Roman" w:hAnsi="Times New Roman"/>
        </w:rPr>
      </w:pPr>
      <w:r>
        <w:rPr>
          <w:rFonts w:ascii="Times New Roman" w:hAnsi="Times New Roman"/>
        </w:rPr>
        <w:t>Mineral Resource Table above is inclusive of Mineral Reserve Statement estimate for Centennial.</w:t>
      </w:r>
    </w:p>
    <w:p w:rsidR="009C0ABD" w:rsidRPr="00924E55" w:rsidRDefault="009C0ABD" w:rsidP="00D0724B">
      <w:pPr>
        <w:pStyle w:val="SourceCaption"/>
        <w:numPr>
          <w:ilvl w:val="0"/>
          <w:numId w:val="5"/>
        </w:numPr>
        <w:rPr>
          <w:rFonts w:ascii="Times New Roman" w:hAnsi="Times New Roman"/>
        </w:rPr>
      </w:pPr>
      <w:r w:rsidRPr="00924E55">
        <w:rPr>
          <w:rFonts w:ascii="Times New Roman" w:hAnsi="Times New Roman"/>
        </w:rPr>
        <w:t>Mineral Resources are not Mineral Reserves and do not have demonstrated economic viability.  There is no certainty that all or any part of the Mineral Resources estimated will be converted into Mineral Reserves estimate;</w:t>
      </w:r>
    </w:p>
    <w:p w:rsidR="009C0ABD" w:rsidRPr="00924E55" w:rsidRDefault="009C0ABD" w:rsidP="00D0724B">
      <w:pPr>
        <w:pStyle w:val="SourceCaption"/>
        <w:numPr>
          <w:ilvl w:val="0"/>
          <w:numId w:val="5"/>
        </w:numPr>
        <w:rPr>
          <w:rFonts w:ascii="Times New Roman" w:hAnsi="Times New Roman"/>
        </w:rPr>
      </w:pPr>
      <w:r w:rsidRPr="00924E55">
        <w:rPr>
          <w:rFonts w:ascii="Times New Roman" w:hAnsi="Times New Roman"/>
        </w:rPr>
        <w:t xml:space="preserve">Resources stated as contained within a potentially economically minable open pit above a 0.006 oz/t </w:t>
      </w:r>
      <w:proofErr w:type="spellStart"/>
      <w:r w:rsidRPr="00924E55">
        <w:rPr>
          <w:rFonts w:ascii="Times New Roman" w:hAnsi="Times New Roman"/>
        </w:rPr>
        <w:t>AuEq</w:t>
      </w:r>
      <w:proofErr w:type="spellEnd"/>
      <w:r w:rsidRPr="00924E55">
        <w:rPr>
          <w:rFonts w:ascii="Times New Roman" w:hAnsi="Times New Roman"/>
        </w:rPr>
        <w:t xml:space="preserve"> </w:t>
      </w:r>
      <w:proofErr w:type="spellStart"/>
      <w:r w:rsidRPr="00924E55">
        <w:rPr>
          <w:rFonts w:ascii="Times New Roman" w:hAnsi="Times New Roman"/>
        </w:rPr>
        <w:t>CoG</w:t>
      </w:r>
      <w:proofErr w:type="spellEnd"/>
      <w:r w:rsidRPr="00924E55">
        <w:rPr>
          <w:rFonts w:ascii="Times New Roman" w:hAnsi="Times New Roman"/>
        </w:rPr>
        <w:t>;</w:t>
      </w:r>
    </w:p>
    <w:p w:rsidR="009C0ABD" w:rsidRPr="00924E55" w:rsidRDefault="009C0ABD" w:rsidP="00D0724B">
      <w:pPr>
        <w:pStyle w:val="SourceCaption"/>
        <w:numPr>
          <w:ilvl w:val="0"/>
          <w:numId w:val="5"/>
        </w:numPr>
        <w:rPr>
          <w:rFonts w:ascii="Times New Roman" w:hAnsi="Times New Roman"/>
        </w:rPr>
      </w:pPr>
      <w:r w:rsidRPr="00924E55">
        <w:rPr>
          <w:rFonts w:ascii="Times New Roman" w:hAnsi="Times New Roman"/>
        </w:rPr>
        <w:t>Pit optimization is based on assumed gold and silver prices of US$1,600/oz and US$40.00/oz, respectively,  effective heap leach recoveries of 75% and 30% for gold and silver, respectively, a mining, processing and G&amp;A cost of US$5.81/t; Net Smelter Return 1% and pit slopes of 50°.</w:t>
      </w:r>
    </w:p>
    <w:p w:rsidR="009C0ABD" w:rsidRPr="00924E55" w:rsidRDefault="009C0ABD" w:rsidP="00D0724B">
      <w:pPr>
        <w:pStyle w:val="SourceCaption"/>
        <w:numPr>
          <w:ilvl w:val="0"/>
          <w:numId w:val="5"/>
        </w:numPr>
        <w:rPr>
          <w:rFonts w:ascii="Times New Roman" w:hAnsi="Times New Roman"/>
        </w:rPr>
      </w:pPr>
      <w:r w:rsidRPr="00924E55">
        <w:rPr>
          <w:rFonts w:ascii="Times New Roman" w:hAnsi="Times New Roman"/>
        </w:rPr>
        <w:t>Reported Au ounces are contained metal subject to process recovery which will result in a reduced number of payable ounces;</w:t>
      </w:r>
    </w:p>
    <w:p w:rsidR="000627FB" w:rsidRPr="00924E55" w:rsidRDefault="009C0ABD" w:rsidP="00D0724B">
      <w:pPr>
        <w:pStyle w:val="SourceCaption"/>
        <w:numPr>
          <w:ilvl w:val="0"/>
          <w:numId w:val="5"/>
        </w:numPr>
        <w:rPr>
          <w:rFonts w:ascii="Times New Roman" w:hAnsi="Times New Roman"/>
        </w:rPr>
      </w:pPr>
      <w:r w:rsidRPr="00924E55">
        <w:rPr>
          <w:rFonts w:ascii="Times New Roman" w:hAnsi="Times New Roman"/>
        </w:rPr>
        <w:t>* Reported Ag ounces have already received a recovery discount during resource modeling; therefore, there will be minimal further reduction of payable Ag ounces after processing; and</w:t>
      </w:r>
    </w:p>
    <w:p w:rsidR="000627FB" w:rsidRPr="000627FB" w:rsidRDefault="000627FB" w:rsidP="00D0724B">
      <w:pPr>
        <w:pStyle w:val="SourceCaption"/>
        <w:numPr>
          <w:ilvl w:val="0"/>
          <w:numId w:val="5"/>
        </w:numPr>
        <w:rPr>
          <w:rFonts w:ascii="Times New Roman" w:hAnsi="Times New Roman"/>
        </w:rPr>
      </w:pPr>
      <w:r w:rsidRPr="000627FB">
        <w:rPr>
          <w:rFonts w:ascii="Times New Roman" w:hAnsi="Times New Roman"/>
        </w:rPr>
        <w:t>Numbers in the table have been rounded to reflect the accuracy of the estimate and may not add due to rounding.</w:t>
      </w:r>
    </w:p>
    <w:p w:rsidR="00E47EB1" w:rsidRDefault="00E47EB1" w:rsidP="002D7874">
      <w:pPr>
        <w:pStyle w:val="BodyText"/>
        <w:ind w:right="-180"/>
        <w:rPr>
          <w:sz w:val="22"/>
          <w:szCs w:val="22"/>
        </w:rPr>
      </w:pPr>
    </w:p>
    <w:p w:rsidR="00272E0A" w:rsidRPr="00272E0A" w:rsidRDefault="00272E0A" w:rsidP="009A5853">
      <w:pPr>
        <w:pStyle w:val="BodyText"/>
        <w:ind w:right="-180"/>
        <w:jc w:val="both"/>
        <w:rPr>
          <w:sz w:val="22"/>
          <w:szCs w:val="22"/>
        </w:rPr>
      </w:pPr>
      <w:r w:rsidRPr="00272E0A">
        <w:rPr>
          <w:sz w:val="22"/>
          <w:szCs w:val="22"/>
        </w:rPr>
        <w:t xml:space="preserve">The Feasibility Study </w:t>
      </w:r>
      <w:r w:rsidR="00E07845">
        <w:rPr>
          <w:sz w:val="22"/>
          <w:szCs w:val="22"/>
        </w:rPr>
        <w:t xml:space="preserve">and the Seligman NI-43-101 Seligman resource estimate </w:t>
      </w:r>
      <w:r w:rsidRPr="00272E0A">
        <w:rPr>
          <w:sz w:val="22"/>
          <w:szCs w:val="22"/>
        </w:rPr>
        <w:t>w</w:t>
      </w:r>
      <w:r w:rsidR="00E956FC">
        <w:rPr>
          <w:sz w:val="22"/>
          <w:szCs w:val="22"/>
        </w:rPr>
        <w:t>ere</w:t>
      </w:r>
      <w:r w:rsidRPr="00272E0A">
        <w:rPr>
          <w:sz w:val="22"/>
          <w:szCs w:val="22"/>
        </w:rPr>
        <w:t xml:space="preserve"> prepared by SRK Consulting (U.S.), Inc., </w:t>
      </w:r>
      <w:proofErr w:type="gramStart"/>
      <w:r w:rsidRPr="00272E0A">
        <w:rPr>
          <w:sz w:val="22"/>
          <w:szCs w:val="22"/>
        </w:rPr>
        <w:t>an</w:t>
      </w:r>
      <w:proofErr w:type="gramEnd"/>
      <w:r w:rsidRPr="00272E0A">
        <w:rPr>
          <w:sz w:val="22"/>
          <w:szCs w:val="22"/>
        </w:rPr>
        <w:t xml:space="preserve"> independent and internationally recognized mining engineering firm.  The Feasibility Study provides mineral resource and mineral reserve estimates, and a classification of resources and reserves in accordance with the Canadian Institute of Mining, Metallurgy and Petroleum Standards on Mineral Resources and Reserves: Definitions and Guidelines, </w:t>
      </w:r>
      <w:smartTag w:uri="urn:schemas-microsoft-com:office:smarttags" w:element="date">
        <w:smartTagPr>
          <w:attr w:name="ls" w:val="trans"/>
          <w:attr w:name="Month" w:val="11"/>
          <w:attr w:name="Day" w:val="27"/>
          <w:attr w:name="Year" w:val="2010"/>
        </w:smartTagPr>
        <w:r w:rsidRPr="00272E0A">
          <w:rPr>
            <w:sz w:val="22"/>
            <w:szCs w:val="22"/>
          </w:rPr>
          <w:t>November 27, 2010</w:t>
        </w:r>
      </w:smartTag>
      <w:r w:rsidRPr="00272E0A">
        <w:rPr>
          <w:sz w:val="22"/>
          <w:szCs w:val="22"/>
        </w:rPr>
        <w:t xml:space="preserve"> (CIM).  It also meets the standards of the U.S. Securities and Exchange Commission Industry Guide 7 for estimating and reporting reserves.  This release has been reviewed for accuracy by Mr. J. B. Pennington of SRK and for Solitario by Walter Hunt, Chief Operating Officer, both of whom are “qualified persons” as that term is defined in NI 43-101.</w:t>
      </w:r>
    </w:p>
    <w:p w:rsidR="00671C88" w:rsidRDefault="00671C88" w:rsidP="009A5853">
      <w:pPr>
        <w:pStyle w:val="NoSpacing"/>
        <w:jc w:val="both"/>
        <w:rPr>
          <w:rFonts w:ascii="Times New Roman" w:hAnsi="Times New Roman"/>
          <w:b/>
        </w:rPr>
      </w:pPr>
    </w:p>
    <w:p w:rsidR="00E47EB1" w:rsidRDefault="00E47EB1">
      <w:pPr>
        <w:rPr>
          <w:rFonts w:eastAsia="Calibri"/>
          <w:b/>
          <w:sz w:val="22"/>
          <w:szCs w:val="22"/>
        </w:rPr>
      </w:pPr>
      <w:r>
        <w:rPr>
          <w:b/>
        </w:rPr>
        <w:br w:type="page"/>
      </w:r>
    </w:p>
    <w:p w:rsidR="00403EB1" w:rsidRPr="00403EB1" w:rsidRDefault="00403EB1" w:rsidP="00ED1905">
      <w:pPr>
        <w:pStyle w:val="NoSpacing"/>
        <w:rPr>
          <w:rFonts w:ascii="Times New Roman" w:hAnsi="Times New Roman"/>
          <w:b/>
        </w:rPr>
      </w:pPr>
      <w:r w:rsidRPr="00403EB1">
        <w:rPr>
          <w:rFonts w:ascii="Times New Roman" w:hAnsi="Times New Roman"/>
          <w:b/>
        </w:rPr>
        <w:lastRenderedPageBreak/>
        <w:t>Terms of the Mt. Hamilton LLC Joint Venture</w:t>
      </w:r>
    </w:p>
    <w:p w:rsidR="00403EB1" w:rsidRPr="00403EB1" w:rsidRDefault="00403EB1" w:rsidP="00ED1905">
      <w:pPr>
        <w:pStyle w:val="NoSpacing"/>
        <w:rPr>
          <w:rFonts w:ascii="Times New Roman" w:hAnsi="Times New Roman"/>
        </w:rPr>
      </w:pPr>
    </w:p>
    <w:p w:rsidR="00272E0A" w:rsidRPr="00403EB1" w:rsidRDefault="00403EB1" w:rsidP="009A5853">
      <w:pPr>
        <w:jc w:val="both"/>
        <w:rPr>
          <w:sz w:val="22"/>
          <w:szCs w:val="22"/>
        </w:rPr>
      </w:pPr>
      <w:r w:rsidRPr="00403EB1">
        <w:rPr>
          <w:sz w:val="22"/>
          <w:szCs w:val="22"/>
        </w:rPr>
        <w:t xml:space="preserve">Solitario and Ely Gold </w:t>
      </w:r>
      <w:r w:rsidRPr="00403EB1">
        <w:rPr>
          <w:rFonts w:eastAsia="Calibri"/>
          <w:sz w:val="22"/>
          <w:szCs w:val="22"/>
        </w:rPr>
        <w:t xml:space="preserve">formed Mt. Hamilton LLC </w:t>
      </w:r>
      <w:r w:rsidRPr="00403EB1">
        <w:rPr>
          <w:sz w:val="22"/>
          <w:szCs w:val="22"/>
        </w:rPr>
        <w:t>(“MH-LLC”)</w:t>
      </w:r>
      <w:r w:rsidRPr="00403EB1">
        <w:rPr>
          <w:rFonts w:eastAsia="Calibri"/>
          <w:sz w:val="22"/>
          <w:szCs w:val="22"/>
        </w:rPr>
        <w:t>, a limited liability company which now holds 100% of the Mt. Hamilton project assets under an Operating Agreement (“</w:t>
      </w:r>
      <w:r w:rsidRPr="00403EB1">
        <w:rPr>
          <w:sz w:val="22"/>
          <w:szCs w:val="22"/>
        </w:rPr>
        <w:t>MH-</w:t>
      </w:r>
      <w:r w:rsidRPr="00403EB1">
        <w:rPr>
          <w:rFonts w:eastAsia="Calibri"/>
          <w:sz w:val="22"/>
          <w:szCs w:val="22"/>
        </w:rPr>
        <w:t>Agreement”).   Solitario hold</w:t>
      </w:r>
      <w:r w:rsidR="00F732F1">
        <w:rPr>
          <w:rFonts w:eastAsia="Calibri"/>
          <w:sz w:val="22"/>
          <w:szCs w:val="22"/>
        </w:rPr>
        <w:t>s</w:t>
      </w:r>
      <w:r w:rsidRPr="00403EB1">
        <w:rPr>
          <w:rFonts w:eastAsia="Calibri"/>
          <w:sz w:val="22"/>
          <w:szCs w:val="22"/>
        </w:rPr>
        <w:t xml:space="preserve"> an 80% interest in MH-LLC, and </w:t>
      </w:r>
      <w:r w:rsidRPr="00403EB1">
        <w:rPr>
          <w:sz w:val="22"/>
          <w:szCs w:val="22"/>
        </w:rPr>
        <w:t>DHI-US</w:t>
      </w:r>
      <w:r w:rsidR="00CD3432">
        <w:rPr>
          <w:sz w:val="22"/>
          <w:szCs w:val="22"/>
        </w:rPr>
        <w:t>.</w:t>
      </w:r>
      <w:r w:rsidRPr="00403EB1">
        <w:rPr>
          <w:rFonts w:eastAsia="Calibri"/>
          <w:sz w:val="22"/>
          <w:szCs w:val="22"/>
        </w:rPr>
        <w:t xml:space="preserve"> </w:t>
      </w:r>
      <w:r w:rsidR="00CD3432">
        <w:rPr>
          <w:rFonts w:eastAsia="Calibri"/>
          <w:sz w:val="22"/>
          <w:szCs w:val="22"/>
        </w:rPr>
        <w:t xml:space="preserve"> </w:t>
      </w:r>
      <w:r w:rsidRPr="00403EB1">
        <w:rPr>
          <w:rFonts w:eastAsia="Calibri"/>
          <w:sz w:val="22"/>
          <w:szCs w:val="22"/>
        </w:rPr>
        <w:t xml:space="preserve">Ely Gold’s wholly owned US subsidiary, </w:t>
      </w:r>
      <w:r w:rsidR="008D5714">
        <w:rPr>
          <w:rFonts w:eastAsia="Calibri"/>
          <w:sz w:val="22"/>
          <w:szCs w:val="22"/>
        </w:rPr>
        <w:t>hold</w:t>
      </w:r>
      <w:r w:rsidR="00F732F1">
        <w:rPr>
          <w:rFonts w:eastAsia="Calibri"/>
          <w:sz w:val="22"/>
          <w:szCs w:val="22"/>
        </w:rPr>
        <w:t>s</w:t>
      </w:r>
      <w:r w:rsidRPr="00403EB1">
        <w:rPr>
          <w:rFonts w:eastAsia="Calibri"/>
          <w:sz w:val="22"/>
          <w:szCs w:val="22"/>
        </w:rPr>
        <w:t xml:space="preserve"> a 20% interest in </w:t>
      </w:r>
      <w:r w:rsidRPr="00403EB1">
        <w:rPr>
          <w:sz w:val="22"/>
          <w:szCs w:val="22"/>
        </w:rPr>
        <w:t>MH-LLC.  Further Solitario obligations include arranging project financing, and making future property and advanced royalty payments.</w:t>
      </w:r>
    </w:p>
    <w:p w:rsidR="00D51F21" w:rsidRDefault="00D51F21" w:rsidP="009A5853">
      <w:pPr>
        <w:jc w:val="both"/>
        <w:rPr>
          <w:b/>
          <w:sz w:val="22"/>
          <w:szCs w:val="22"/>
        </w:rPr>
      </w:pPr>
    </w:p>
    <w:p w:rsidR="008724DE" w:rsidRPr="00DE5C95" w:rsidRDefault="008724DE" w:rsidP="009A5853">
      <w:pPr>
        <w:jc w:val="both"/>
        <w:rPr>
          <w:b/>
          <w:sz w:val="22"/>
          <w:szCs w:val="22"/>
        </w:rPr>
      </w:pPr>
      <w:r w:rsidRPr="00DE5C95">
        <w:rPr>
          <w:b/>
          <w:sz w:val="22"/>
          <w:szCs w:val="22"/>
        </w:rPr>
        <w:t>About Solitario</w:t>
      </w:r>
    </w:p>
    <w:p w:rsidR="008724DE" w:rsidRPr="00F9622B" w:rsidRDefault="008724DE" w:rsidP="009A5853">
      <w:pPr>
        <w:jc w:val="both"/>
        <w:rPr>
          <w:sz w:val="22"/>
          <w:szCs w:val="22"/>
        </w:rPr>
      </w:pPr>
    </w:p>
    <w:p w:rsidR="00F732F1" w:rsidRDefault="00B13645" w:rsidP="009A5853">
      <w:pPr>
        <w:jc w:val="both"/>
        <w:rPr>
          <w:rFonts w:cs="Arial"/>
          <w:sz w:val="22"/>
          <w:szCs w:val="22"/>
        </w:rPr>
      </w:pPr>
      <w:r w:rsidRPr="00760E9B">
        <w:rPr>
          <w:sz w:val="22"/>
          <w:szCs w:val="22"/>
        </w:rPr>
        <w:t>Solitario is a gold, silver, platinum-palladium, and base metal exploration and royalty company actively exploring in Brazil, Mexico,</w:t>
      </w:r>
      <w:r>
        <w:rPr>
          <w:sz w:val="22"/>
          <w:szCs w:val="22"/>
        </w:rPr>
        <w:t xml:space="preserve"> and</w:t>
      </w:r>
      <w:r w:rsidRPr="00760E9B">
        <w:rPr>
          <w:sz w:val="22"/>
          <w:szCs w:val="22"/>
        </w:rPr>
        <w:t xml:space="preserve"> Peru.  Solitario has significant business relationships with </w:t>
      </w:r>
      <w:proofErr w:type="spellStart"/>
      <w:r>
        <w:rPr>
          <w:sz w:val="22"/>
          <w:szCs w:val="22"/>
        </w:rPr>
        <w:t>Votorantim</w:t>
      </w:r>
      <w:proofErr w:type="spellEnd"/>
      <w:r>
        <w:rPr>
          <w:sz w:val="22"/>
          <w:szCs w:val="22"/>
        </w:rPr>
        <w:t xml:space="preserve"> </w:t>
      </w:r>
      <w:proofErr w:type="spellStart"/>
      <w:r>
        <w:rPr>
          <w:sz w:val="22"/>
          <w:szCs w:val="22"/>
        </w:rPr>
        <w:t>Metais</w:t>
      </w:r>
      <w:proofErr w:type="spellEnd"/>
      <w:r>
        <w:rPr>
          <w:sz w:val="22"/>
          <w:szCs w:val="22"/>
        </w:rPr>
        <w:t xml:space="preserve"> on its high-grade </w:t>
      </w:r>
      <w:proofErr w:type="spellStart"/>
      <w:r w:rsidR="00AE6107">
        <w:rPr>
          <w:sz w:val="22"/>
          <w:szCs w:val="22"/>
        </w:rPr>
        <w:t>Bongará</w:t>
      </w:r>
      <w:proofErr w:type="spellEnd"/>
      <w:r>
        <w:rPr>
          <w:sz w:val="22"/>
          <w:szCs w:val="22"/>
        </w:rPr>
        <w:t xml:space="preserve"> zinc project in Peru and An</w:t>
      </w:r>
      <w:r w:rsidRPr="00760E9B">
        <w:rPr>
          <w:sz w:val="22"/>
          <w:szCs w:val="22"/>
        </w:rPr>
        <w:t>glo Platinum</w:t>
      </w:r>
      <w:r>
        <w:rPr>
          <w:sz w:val="22"/>
          <w:szCs w:val="22"/>
        </w:rPr>
        <w:t xml:space="preserve"> on its </w:t>
      </w:r>
      <w:proofErr w:type="spellStart"/>
      <w:r>
        <w:rPr>
          <w:sz w:val="22"/>
          <w:szCs w:val="22"/>
        </w:rPr>
        <w:t>Pedra</w:t>
      </w:r>
      <w:proofErr w:type="spellEnd"/>
      <w:r>
        <w:rPr>
          <w:sz w:val="22"/>
          <w:szCs w:val="22"/>
        </w:rPr>
        <w:t xml:space="preserve"> </w:t>
      </w:r>
      <w:proofErr w:type="spellStart"/>
      <w:r>
        <w:rPr>
          <w:sz w:val="22"/>
          <w:szCs w:val="22"/>
        </w:rPr>
        <w:t>Branca</w:t>
      </w:r>
      <w:proofErr w:type="spellEnd"/>
      <w:r>
        <w:rPr>
          <w:sz w:val="22"/>
          <w:szCs w:val="22"/>
        </w:rPr>
        <w:t xml:space="preserve"> platinum-palladium project in Brazil</w:t>
      </w:r>
      <w:r w:rsidRPr="00760E9B">
        <w:rPr>
          <w:sz w:val="22"/>
          <w:szCs w:val="22"/>
        </w:rPr>
        <w:t xml:space="preserve">.  Solitario is traded on the NYSE </w:t>
      </w:r>
      <w:r w:rsidR="000627FB">
        <w:rPr>
          <w:sz w:val="22"/>
          <w:szCs w:val="22"/>
        </w:rPr>
        <w:t>MKT</w:t>
      </w:r>
      <w:r w:rsidRPr="00760E9B">
        <w:rPr>
          <w:sz w:val="22"/>
          <w:szCs w:val="22"/>
        </w:rPr>
        <w:t xml:space="preserve"> ("XPL") and on the Toronto Stock Exchange ("SLR").  Additional information about Solitario is available online at </w:t>
      </w:r>
      <w:hyperlink r:id="rId9" w:history="1">
        <w:r w:rsidR="00DE1E53" w:rsidRPr="004F3E8E">
          <w:rPr>
            <w:rStyle w:val="Hyperlink"/>
            <w:rFonts w:cs="Arial"/>
            <w:sz w:val="22"/>
            <w:szCs w:val="22"/>
          </w:rPr>
          <w:t>www.solitarioxr.com</w:t>
        </w:r>
      </w:hyperlink>
      <w:r w:rsidR="00F732F1">
        <w:rPr>
          <w:rFonts w:cs="Arial"/>
          <w:sz w:val="22"/>
          <w:szCs w:val="22"/>
        </w:rPr>
        <w:t>.</w:t>
      </w:r>
    </w:p>
    <w:p w:rsidR="000627FB" w:rsidRDefault="000627FB" w:rsidP="009A5853">
      <w:pPr>
        <w:jc w:val="both"/>
        <w:rPr>
          <w:rFonts w:cs="Arial"/>
          <w:sz w:val="22"/>
          <w:szCs w:val="22"/>
        </w:rPr>
      </w:pPr>
    </w:p>
    <w:p w:rsidR="003B51E4" w:rsidRPr="003B51E4" w:rsidRDefault="003B51E4" w:rsidP="009A5853">
      <w:pPr>
        <w:jc w:val="both"/>
        <w:rPr>
          <w:b/>
          <w:sz w:val="22"/>
          <w:szCs w:val="22"/>
        </w:rPr>
      </w:pPr>
      <w:r w:rsidRPr="003B51E4">
        <w:rPr>
          <w:b/>
          <w:sz w:val="22"/>
          <w:szCs w:val="22"/>
        </w:rPr>
        <w:t>About Ely Gold</w:t>
      </w:r>
    </w:p>
    <w:p w:rsidR="003B51E4" w:rsidRPr="003B51E4" w:rsidRDefault="003B51E4" w:rsidP="009A5853">
      <w:pPr>
        <w:jc w:val="both"/>
        <w:rPr>
          <w:sz w:val="22"/>
          <w:szCs w:val="22"/>
        </w:rPr>
      </w:pPr>
    </w:p>
    <w:p w:rsidR="003B51E4" w:rsidRPr="003B51E4" w:rsidRDefault="003B51E4" w:rsidP="009A5853">
      <w:pPr>
        <w:jc w:val="both"/>
        <w:rPr>
          <w:sz w:val="22"/>
          <w:szCs w:val="22"/>
        </w:rPr>
      </w:pPr>
      <w:r w:rsidRPr="003B51E4">
        <w:rPr>
          <w:sz w:val="22"/>
          <w:szCs w:val="22"/>
        </w:rPr>
        <w:t xml:space="preserve">Ely Gold is focused on the acquisition and development of gold resources in North America.  Ely Gold is traded on the TSX Venture Exchange ("ELY").  Additional information about Ely Gold is available online at </w:t>
      </w:r>
      <w:hyperlink r:id="rId10" w:history="1">
        <w:r w:rsidRPr="003B51E4">
          <w:rPr>
            <w:rStyle w:val="Hyperlink"/>
            <w:sz w:val="22"/>
            <w:szCs w:val="22"/>
          </w:rPr>
          <w:t>www.elygoldandminerals.com</w:t>
        </w:r>
      </w:hyperlink>
    </w:p>
    <w:p w:rsidR="003B51E4" w:rsidRPr="003B51E4" w:rsidRDefault="003B51E4" w:rsidP="009A5853">
      <w:pPr>
        <w:jc w:val="both"/>
        <w:rPr>
          <w:sz w:val="22"/>
          <w:szCs w:val="22"/>
        </w:rPr>
      </w:pPr>
    </w:p>
    <w:p w:rsidR="003B51E4" w:rsidRPr="003B51E4" w:rsidRDefault="003B51E4" w:rsidP="003B51E4">
      <w:pPr>
        <w:rPr>
          <w:sz w:val="22"/>
          <w:szCs w:val="22"/>
        </w:rPr>
      </w:pPr>
      <w:r w:rsidRPr="003B51E4">
        <w:rPr>
          <w:sz w:val="22"/>
          <w:szCs w:val="22"/>
        </w:rPr>
        <w:t>FOR MORE INFORMATION AT SOLITARIO, CONTACT:</w:t>
      </w:r>
    </w:p>
    <w:p w:rsidR="003B51E4" w:rsidRPr="003B51E4" w:rsidRDefault="003B51E4" w:rsidP="003B51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tblGrid>
      <w:tr w:rsidR="003B51E4" w:rsidRPr="003B51E4" w:rsidTr="003B51E4">
        <w:tc>
          <w:tcPr>
            <w:tcW w:w="2880" w:type="dxa"/>
          </w:tcPr>
          <w:p w:rsidR="003B51E4" w:rsidRPr="003B51E4" w:rsidRDefault="003B51E4" w:rsidP="003B51E4">
            <w:pPr>
              <w:rPr>
                <w:sz w:val="22"/>
                <w:szCs w:val="22"/>
              </w:rPr>
            </w:pPr>
            <w:r w:rsidRPr="003B51E4">
              <w:rPr>
                <w:sz w:val="22"/>
                <w:szCs w:val="22"/>
              </w:rPr>
              <w:t>Debbie  Mino-Austin</w:t>
            </w:r>
          </w:p>
          <w:p w:rsidR="003B51E4" w:rsidRPr="003B51E4" w:rsidRDefault="003B51E4" w:rsidP="003B51E4">
            <w:pPr>
              <w:rPr>
                <w:sz w:val="22"/>
                <w:szCs w:val="22"/>
              </w:rPr>
            </w:pPr>
            <w:r w:rsidRPr="003B51E4">
              <w:rPr>
                <w:sz w:val="22"/>
                <w:szCs w:val="22"/>
              </w:rPr>
              <w:t xml:space="preserve">Director – Investor Relations </w:t>
            </w:r>
          </w:p>
        </w:tc>
        <w:tc>
          <w:tcPr>
            <w:tcW w:w="1980" w:type="dxa"/>
          </w:tcPr>
          <w:p w:rsidR="003B51E4" w:rsidRPr="003B51E4" w:rsidRDefault="003B51E4" w:rsidP="003B51E4">
            <w:pPr>
              <w:rPr>
                <w:sz w:val="22"/>
                <w:szCs w:val="22"/>
              </w:rPr>
            </w:pPr>
          </w:p>
          <w:p w:rsidR="003B51E4" w:rsidRPr="003B51E4" w:rsidRDefault="003B51E4" w:rsidP="003B51E4">
            <w:pPr>
              <w:rPr>
                <w:sz w:val="22"/>
                <w:szCs w:val="22"/>
              </w:rPr>
            </w:pPr>
            <w:r w:rsidRPr="003B51E4">
              <w:rPr>
                <w:sz w:val="22"/>
                <w:szCs w:val="22"/>
              </w:rPr>
              <w:t>(800) 229-6827</w:t>
            </w:r>
          </w:p>
        </w:tc>
      </w:tr>
      <w:tr w:rsidR="003B51E4" w:rsidRPr="003B51E4" w:rsidTr="003B51E4">
        <w:tc>
          <w:tcPr>
            <w:tcW w:w="2880" w:type="dxa"/>
          </w:tcPr>
          <w:p w:rsidR="003B51E4" w:rsidRPr="003B51E4" w:rsidRDefault="003B51E4" w:rsidP="003B51E4">
            <w:pPr>
              <w:rPr>
                <w:sz w:val="22"/>
                <w:szCs w:val="22"/>
              </w:rPr>
            </w:pPr>
            <w:r w:rsidRPr="003B51E4">
              <w:rPr>
                <w:sz w:val="22"/>
                <w:szCs w:val="22"/>
              </w:rPr>
              <w:t>Christopher E. Herald</w:t>
            </w:r>
          </w:p>
          <w:p w:rsidR="003B51E4" w:rsidRPr="003B51E4" w:rsidRDefault="003B51E4" w:rsidP="003B51E4">
            <w:pPr>
              <w:rPr>
                <w:sz w:val="22"/>
                <w:szCs w:val="22"/>
              </w:rPr>
            </w:pPr>
            <w:r w:rsidRPr="003B51E4">
              <w:rPr>
                <w:sz w:val="22"/>
                <w:szCs w:val="22"/>
              </w:rPr>
              <w:t>President &amp; CEO</w:t>
            </w:r>
          </w:p>
        </w:tc>
        <w:tc>
          <w:tcPr>
            <w:tcW w:w="1980" w:type="dxa"/>
          </w:tcPr>
          <w:p w:rsidR="003B51E4" w:rsidRPr="003B51E4" w:rsidRDefault="003B51E4" w:rsidP="003B51E4">
            <w:pPr>
              <w:rPr>
                <w:sz w:val="22"/>
                <w:szCs w:val="22"/>
              </w:rPr>
            </w:pPr>
          </w:p>
          <w:p w:rsidR="003B51E4" w:rsidRPr="003B51E4" w:rsidRDefault="003B51E4" w:rsidP="003B51E4">
            <w:pPr>
              <w:rPr>
                <w:sz w:val="22"/>
                <w:szCs w:val="22"/>
              </w:rPr>
            </w:pPr>
            <w:r w:rsidRPr="003B51E4">
              <w:rPr>
                <w:sz w:val="22"/>
                <w:szCs w:val="22"/>
              </w:rPr>
              <w:t>(303) 534-1030</w:t>
            </w:r>
          </w:p>
        </w:tc>
      </w:tr>
    </w:tbl>
    <w:p w:rsidR="003B51E4" w:rsidRPr="003B51E4" w:rsidRDefault="003B51E4" w:rsidP="003B51E4">
      <w:pPr>
        <w:jc w:val="both"/>
        <w:rPr>
          <w:sz w:val="22"/>
          <w:szCs w:val="22"/>
        </w:rPr>
      </w:pPr>
    </w:p>
    <w:p w:rsidR="003B51E4" w:rsidRPr="003B51E4" w:rsidRDefault="003B51E4" w:rsidP="003B51E4">
      <w:pPr>
        <w:rPr>
          <w:sz w:val="22"/>
          <w:szCs w:val="22"/>
        </w:rPr>
      </w:pPr>
      <w:r w:rsidRPr="003B51E4">
        <w:rPr>
          <w:sz w:val="22"/>
          <w:szCs w:val="22"/>
        </w:rPr>
        <w:t>FOR MORE INFORMATION AT ELY GOLD, CONTACT:</w:t>
      </w:r>
    </w:p>
    <w:p w:rsidR="003B51E4" w:rsidRPr="003B51E4" w:rsidRDefault="003B51E4" w:rsidP="003B51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80"/>
      </w:tblGrid>
      <w:tr w:rsidR="003B51E4" w:rsidRPr="003B51E4" w:rsidTr="003B51E4">
        <w:tc>
          <w:tcPr>
            <w:tcW w:w="2880" w:type="dxa"/>
          </w:tcPr>
          <w:p w:rsidR="003B51E4" w:rsidRPr="003B51E4" w:rsidRDefault="003B51E4" w:rsidP="003B51E4">
            <w:pPr>
              <w:rPr>
                <w:sz w:val="22"/>
                <w:szCs w:val="22"/>
              </w:rPr>
            </w:pPr>
            <w:r w:rsidRPr="003B51E4">
              <w:rPr>
                <w:sz w:val="22"/>
                <w:szCs w:val="22"/>
              </w:rPr>
              <w:t>Steve Kenwood</w:t>
            </w:r>
          </w:p>
          <w:p w:rsidR="003B51E4" w:rsidRPr="003B51E4" w:rsidRDefault="003B51E4" w:rsidP="003B51E4">
            <w:pPr>
              <w:rPr>
                <w:sz w:val="22"/>
                <w:szCs w:val="22"/>
              </w:rPr>
            </w:pPr>
            <w:r w:rsidRPr="003B51E4">
              <w:rPr>
                <w:sz w:val="22"/>
                <w:szCs w:val="22"/>
              </w:rPr>
              <w:t>Director</w:t>
            </w:r>
          </w:p>
        </w:tc>
        <w:tc>
          <w:tcPr>
            <w:tcW w:w="1980" w:type="dxa"/>
          </w:tcPr>
          <w:p w:rsidR="003B51E4" w:rsidRPr="003B51E4" w:rsidRDefault="003B51E4" w:rsidP="003B51E4">
            <w:pPr>
              <w:rPr>
                <w:sz w:val="22"/>
                <w:szCs w:val="22"/>
              </w:rPr>
            </w:pPr>
          </w:p>
          <w:p w:rsidR="003B51E4" w:rsidRPr="003B51E4" w:rsidRDefault="003B51E4" w:rsidP="003B51E4">
            <w:pPr>
              <w:rPr>
                <w:sz w:val="22"/>
                <w:szCs w:val="22"/>
              </w:rPr>
            </w:pPr>
            <w:r w:rsidRPr="003B51E4">
              <w:rPr>
                <w:sz w:val="22"/>
                <w:szCs w:val="22"/>
              </w:rPr>
              <w:t>(604) 488-1104</w:t>
            </w:r>
          </w:p>
        </w:tc>
      </w:tr>
      <w:tr w:rsidR="003B51E4" w:rsidRPr="003B51E4" w:rsidTr="003B51E4">
        <w:tc>
          <w:tcPr>
            <w:tcW w:w="2880" w:type="dxa"/>
          </w:tcPr>
          <w:p w:rsidR="003B51E4" w:rsidRPr="003B51E4" w:rsidRDefault="003B51E4" w:rsidP="003B51E4">
            <w:pPr>
              <w:rPr>
                <w:sz w:val="22"/>
                <w:szCs w:val="22"/>
              </w:rPr>
            </w:pPr>
            <w:r w:rsidRPr="003B51E4">
              <w:rPr>
                <w:sz w:val="22"/>
                <w:szCs w:val="22"/>
              </w:rPr>
              <w:t>Trey Wasser</w:t>
            </w:r>
          </w:p>
          <w:p w:rsidR="003B51E4" w:rsidRPr="003B51E4" w:rsidRDefault="003B51E4" w:rsidP="003B51E4">
            <w:pPr>
              <w:rPr>
                <w:sz w:val="22"/>
                <w:szCs w:val="22"/>
              </w:rPr>
            </w:pPr>
            <w:r w:rsidRPr="003B51E4">
              <w:rPr>
                <w:sz w:val="22"/>
                <w:szCs w:val="22"/>
              </w:rPr>
              <w:t>President &amp; CEO</w:t>
            </w:r>
          </w:p>
        </w:tc>
        <w:tc>
          <w:tcPr>
            <w:tcW w:w="1980" w:type="dxa"/>
          </w:tcPr>
          <w:p w:rsidR="003B51E4" w:rsidRPr="003B51E4" w:rsidRDefault="003B51E4" w:rsidP="003B51E4">
            <w:pPr>
              <w:rPr>
                <w:sz w:val="22"/>
                <w:szCs w:val="22"/>
              </w:rPr>
            </w:pPr>
          </w:p>
          <w:p w:rsidR="003B51E4" w:rsidRPr="003B51E4" w:rsidRDefault="003B51E4" w:rsidP="003B51E4">
            <w:pPr>
              <w:rPr>
                <w:sz w:val="22"/>
                <w:szCs w:val="22"/>
              </w:rPr>
            </w:pPr>
            <w:r w:rsidRPr="003B51E4">
              <w:rPr>
                <w:sz w:val="22"/>
                <w:szCs w:val="22"/>
              </w:rPr>
              <w:t>(972)</w:t>
            </w:r>
            <w:r w:rsidRPr="003B51E4" w:rsidDel="007919CC">
              <w:rPr>
                <w:sz w:val="22"/>
                <w:szCs w:val="22"/>
              </w:rPr>
              <w:t xml:space="preserve"> </w:t>
            </w:r>
            <w:r w:rsidRPr="003B51E4">
              <w:rPr>
                <w:sz w:val="22"/>
                <w:szCs w:val="22"/>
              </w:rPr>
              <w:t>803-3087</w:t>
            </w:r>
          </w:p>
        </w:tc>
      </w:tr>
    </w:tbl>
    <w:p w:rsidR="00307E51" w:rsidRDefault="00307E51" w:rsidP="003B51E4">
      <w:pPr>
        <w:jc w:val="both"/>
        <w:rPr>
          <w:sz w:val="22"/>
          <w:szCs w:val="22"/>
        </w:rPr>
      </w:pPr>
    </w:p>
    <w:p w:rsidR="001748CF" w:rsidRPr="00946DEC" w:rsidRDefault="001748CF" w:rsidP="001748CF">
      <w:pPr>
        <w:jc w:val="both"/>
        <w:rPr>
          <w:b/>
        </w:rPr>
      </w:pPr>
      <w:r w:rsidRPr="00F95974">
        <w:rPr>
          <w:rFonts w:cs="Arial"/>
          <w:i/>
          <w:sz w:val="20"/>
          <w:szCs w:val="20"/>
        </w:rPr>
        <w:t xml:space="preserve">Neither TSX Venture Exchange nor its Regulation Services Provider (as that term is defined in the policies of the TSX Venture Exchange) accepts responsibility for the adequacy or accuracy of this release. </w:t>
      </w:r>
    </w:p>
    <w:p w:rsidR="001748CF" w:rsidRDefault="001748CF" w:rsidP="001748CF"/>
    <w:p w:rsidR="001748CF" w:rsidRPr="00A900E0" w:rsidRDefault="001748CF" w:rsidP="001748CF">
      <w:pPr>
        <w:pStyle w:val="Default"/>
        <w:rPr>
          <w:sz w:val="20"/>
          <w:szCs w:val="20"/>
        </w:rPr>
      </w:pPr>
      <w:r w:rsidRPr="00A900E0">
        <w:rPr>
          <w:b/>
          <w:bCs/>
          <w:sz w:val="20"/>
          <w:szCs w:val="20"/>
        </w:rPr>
        <w:t xml:space="preserve">Cautionary Statement Regarding Forward Looking Information </w:t>
      </w:r>
    </w:p>
    <w:p w:rsidR="00946DEC" w:rsidRPr="0062014C" w:rsidRDefault="001748CF" w:rsidP="001748CF">
      <w:pPr>
        <w:pStyle w:val="Default"/>
        <w:rPr>
          <w:i/>
          <w:iCs/>
          <w:sz w:val="18"/>
          <w:szCs w:val="18"/>
        </w:rPr>
      </w:pPr>
      <w:r w:rsidRPr="00DF227E">
        <w:rPr>
          <w:i/>
          <w:iCs/>
          <w:sz w:val="18"/>
          <w:szCs w:val="18"/>
        </w:rPr>
        <w:t xml:space="preserve">This press release contains forward-looking statements within the meaning of the U.S. Securities Act of 1933 and the U.S. Securities Exchange Act of 1934, and </w:t>
      </w:r>
      <w:r w:rsidRPr="00DF227E">
        <w:rPr>
          <w:i/>
          <w:sz w:val="18"/>
          <w:szCs w:val="18"/>
        </w:rPr>
        <w:t xml:space="preserve">as defined in the United States Private Securities Litigation Reform Act of 1995 </w:t>
      </w:r>
      <w:r w:rsidRPr="00DF227E">
        <w:rPr>
          <w:i/>
          <w:iCs/>
          <w:sz w:val="18"/>
          <w:szCs w:val="18"/>
        </w:rPr>
        <w:t>(and the equivalent under Canadian securities laws)</w:t>
      </w:r>
      <w:r w:rsidRPr="00DF227E">
        <w:rPr>
          <w:i/>
          <w:sz w:val="18"/>
          <w:szCs w:val="18"/>
        </w:rPr>
        <w:t>,</w:t>
      </w:r>
      <w:r w:rsidRPr="00DF227E">
        <w:rPr>
          <w:sz w:val="18"/>
          <w:szCs w:val="18"/>
        </w:rPr>
        <w:t xml:space="preserve"> </w:t>
      </w:r>
      <w:r w:rsidRPr="00DF227E">
        <w:rPr>
          <w:i/>
          <w:iCs/>
          <w:sz w:val="18"/>
          <w:szCs w:val="18"/>
        </w:rPr>
        <w:t xml:space="preserve">that are intended to be covered by the safe harbor created by such sections. </w:t>
      </w:r>
      <w:r w:rsidRPr="00DF227E">
        <w:rPr>
          <w:i/>
          <w:sz w:val="18"/>
          <w:szCs w:val="18"/>
        </w:rPr>
        <w:t xml:space="preserve">Forward-looking statements are statements that are not historical fact. They are based on the beliefs, estimates and opinions of the Company's management on the date the statements are made and </w:t>
      </w:r>
      <w:r w:rsidRPr="00DF227E">
        <w:rPr>
          <w:i/>
          <w:iCs/>
          <w:sz w:val="18"/>
          <w:szCs w:val="18"/>
        </w:rPr>
        <w:t>address activities, events or developments that Solitario expects or anticipates will or may occur in the future, and are based on current expectations and assumptions.  Forward-looking statements</w:t>
      </w:r>
      <w:r w:rsidRPr="00DF227E">
        <w:rPr>
          <w:i/>
          <w:sz w:val="18"/>
          <w:szCs w:val="18"/>
        </w:rPr>
        <w:t xml:space="preserve"> involve a number of risks and uncertainties. Consequently, there can be no assurances that such statements will prove to be accurate and actual results and future events could differ materially from those anticipated in such statements. </w:t>
      </w:r>
      <w:r w:rsidRPr="00DF227E">
        <w:rPr>
          <w:i/>
          <w:iCs/>
          <w:sz w:val="18"/>
          <w:szCs w:val="18"/>
        </w:rPr>
        <w:t xml:space="preserve">Such forward-looking statements include, without limitation, statements regarding the Company’s expectation of the projected timing and outcome of </w:t>
      </w:r>
      <w:r w:rsidRPr="00DF227E">
        <w:rPr>
          <w:i/>
          <w:iCs/>
          <w:sz w:val="18"/>
          <w:szCs w:val="18"/>
        </w:rPr>
        <w:lastRenderedPageBreak/>
        <w:t xml:space="preserve">engineering studies; expectations regarding the receipt of all necessary permits and approvals to implement the mining plan at Mt. Hamilton; the potential for confirming, upgrading and expanding oxide gold and silver mineralized material at Mt. Hamilton; reserve and resource estimates; operating cost estimates; estimates of gold and silver grades; estimates of recovery rates; expectations regarding the cash flow generated by the property; and other statements that are not historical facts.  Although Solitario management believes that its expectations are based on reasonable assumptions, it can give no assurance that these expectations will prove correct.  Important factors that could cause actual results to differ materially from those in the forward-looking statements include, among others, risks relating to risks that </w:t>
      </w:r>
      <w:proofErr w:type="spellStart"/>
      <w:r w:rsidRPr="00DF227E">
        <w:rPr>
          <w:i/>
          <w:iCs/>
          <w:sz w:val="18"/>
          <w:szCs w:val="18"/>
        </w:rPr>
        <w:t>Solitario’s</w:t>
      </w:r>
      <w:proofErr w:type="spellEnd"/>
      <w:r w:rsidRPr="00DF227E">
        <w:rPr>
          <w:i/>
          <w:iCs/>
          <w:sz w:val="18"/>
          <w:szCs w:val="18"/>
        </w:rPr>
        <w:t xml:space="preserve"> exploration and property advancement efforts will not be successful; risks relating to fluctuations in the price of gold and silver; the inherently hazardous nature of mining-related activities; uncertainties concerning reserve and resource estimates; availability of outside contractors in connection with Mt. Hamilton and other activities; uncertainties relating to obtaining approvals and permits from governmental regulatory authorities; the possibility that environmental laws and regulations will change over time and become even more restrictive; and availability and timing of capital for financing the Company’s exploration and development activities, including uncertainty of being able to raise capital on favorable terms or at all; as well as those factors discussed in </w:t>
      </w:r>
      <w:proofErr w:type="spellStart"/>
      <w:r w:rsidRPr="00DF227E">
        <w:rPr>
          <w:i/>
          <w:iCs/>
          <w:sz w:val="18"/>
          <w:szCs w:val="18"/>
        </w:rPr>
        <w:t>Solitario’s</w:t>
      </w:r>
      <w:proofErr w:type="spellEnd"/>
      <w:r w:rsidRPr="00DF227E">
        <w:rPr>
          <w:i/>
          <w:iCs/>
          <w:sz w:val="18"/>
          <w:szCs w:val="18"/>
        </w:rPr>
        <w:t xml:space="preserve"> filings with the U.S. Securities and Exchange Commission (the “</w:t>
      </w:r>
      <w:r w:rsidRPr="00DF227E">
        <w:rPr>
          <w:b/>
          <w:bCs/>
          <w:i/>
          <w:iCs/>
          <w:sz w:val="18"/>
          <w:szCs w:val="18"/>
        </w:rPr>
        <w:t>SEC</w:t>
      </w:r>
      <w:r w:rsidRPr="00DF227E">
        <w:rPr>
          <w:i/>
          <w:iCs/>
          <w:sz w:val="18"/>
          <w:szCs w:val="18"/>
        </w:rPr>
        <w:t xml:space="preserve">”) including </w:t>
      </w:r>
      <w:proofErr w:type="spellStart"/>
      <w:r w:rsidRPr="00DF227E">
        <w:rPr>
          <w:i/>
          <w:iCs/>
          <w:sz w:val="18"/>
          <w:szCs w:val="18"/>
        </w:rPr>
        <w:t>Solitario’s</w:t>
      </w:r>
      <w:proofErr w:type="spellEnd"/>
      <w:r w:rsidRPr="00DF227E">
        <w:rPr>
          <w:i/>
          <w:iCs/>
          <w:sz w:val="18"/>
          <w:szCs w:val="18"/>
        </w:rPr>
        <w:t xml:space="preserve"> latest Annual Report on Form 10-K and its other SEC filings (and Canadian filings) including, without limitation, its latest Quarterly Report on Form 10-Q. The Company does not intend to publicly update any forward-looking statements, whether as a result of new information, future events, or otherwise, except as may be required under applicable securities laws. </w:t>
      </w:r>
      <w:bookmarkStart w:id="1" w:name="RANGE!C5:K25"/>
      <w:bookmarkEnd w:id="1"/>
    </w:p>
    <w:sectPr w:rsidR="00946DEC" w:rsidRPr="0062014C" w:rsidSect="00F44C30">
      <w:pgSz w:w="12240" w:h="15840"/>
      <w:pgMar w:top="1170" w:right="1800" w:bottom="19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57C8"/>
    <w:multiLevelType w:val="hybridMultilevel"/>
    <w:tmpl w:val="E46A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A6CC7"/>
    <w:multiLevelType w:val="hybridMultilevel"/>
    <w:tmpl w:val="D5B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322D7"/>
    <w:multiLevelType w:val="hybridMultilevel"/>
    <w:tmpl w:val="7BE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E44FD"/>
    <w:multiLevelType w:val="hybridMultilevel"/>
    <w:tmpl w:val="DEE479BE"/>
    <w:lvl w:ilvl="0" w:tplc="3AAC6C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2078D5"/>
    <w:multiLevelType w:val="hybridMultilevel"/>
    <w:tmpl w:val="CF9C2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efaultTabStop w:val="720"/>
  <w:characterSpacingControl w:val="doNotCompress"/>
  <w:compat/>
  <w:rsids>
    <w:rsidRoot w:val="00D363A9"/>
    <w:rsid w:val="000439B4"/>
    <w:rsid w:val="0004671D"/>
    <w:rsid w:val="00046E80"/>
    <w:rsid w:val="0006031F"/>
    <w:rsid w:val="00060EF3"/>
    <w:rsid w:val="000627FB"/>
    <w:rsid w:val="0007173B"/>
    <w:rsid w:val="00074BE7"/>
    <w:rsid w:val="000827F6"/>
    <w:rsid w:val="00082F61"/>
    <w:rsid w:val="000941BA"/>
    <w:rsid w:val="000A1BCD"/>
    <w:rsid w:val="000A2D59"/>
    <w:rsid w:val="000A61DF"/>
    <w:rsid w:val="000C0E92"/>
    <w:rsid w:val="000C3D7E"/>
    <w:rsid w:val="000C3ED9"/>
    <w:rsid w:val="000C4FCF"/>
    <w:rsid w:val="000C7D06"/>
    <w:rsid w:val="000E1F79"/>
    <w:rsid w:val="000E2478"/>
    <w:rsid w:val="000F0723"/>
    <w:rsid w:val="00107E41"/>
    <w:rsid w:val="0011207C"/>
    <w:rsid w:val="00112510"/>
    <w:rsid w:val="001374B7"/>
    <w:rsid w:val="00142638"/>
    <w:rsid w:val="00146113"/>
    <w:rsid w:val="00147D33"/>
    <w:rsid w:val="001512DE"/>
    <w:rsid w:val="00162269"/>
    <w:rsid w:val="001720BC"/>
    <w:rsid w:val="001748CF"/>
    <w:rsid w:val="00197F42"/>
    <w:rsid w:val="001A0B70"/>
    <w:rsid w:val="001A1467"/>
    <w:rsid w:val="001A6C78"/>
    <w:rsid w:val="001B6412"/>
    <w:rsid w:val="001C0375"/>
    <w:rsid w:val="001C0CC5"/>
    <w:rsid w:val="001C1175"/>
    <w:rsid w:val="001C466F"/>
    <w:rsid w:val="001D0F51"/>
    <w:rsid w:val="001F379C"/>
    <w:rsid w:val="002013E3"/>
    <w:rsid w:val="00204150"/>
    <w:rsid w:val="00216D4A"/>
    <w:rsid w:val="002227DA"/>
    <w:rsid w:val="0022325E"/>
    <w:rsid w:val="00225D6E"/>
    <w:rsid w:val="002338A9"/>
    <w:rsid w:val="002463CA"/>
    <w:rsid w:val="00254EFD"/>
    <w:rsid w:val="0027090D"/>
    <w:rsid w:val="00272E0A"/>
    <w:rsid w:val="002752E5"/>
    <w:rsid w:val="00276EC5"/>
    <w:rsid w:val="002948A3"/>
    <w:rsid w:val="00295C29"/>
    <w:rsid w:val="002A1A04"/>
    <w:rsid w:val="002A390F"/>
    <w:rsid w:val="002A428B"/>
    <w:rsid w:val="002B7580"/>
    <w:rsid w:val="002C23FD"/>
    <w:rsid w:val="002D7874"/>
    <w:rsid w:val="002E31AF"/>
    <w:rsid w:val="002F102E"/>
    <w:rsid w:val="00307E51"/>
    <w:rsid w:val="00337418"/>
    <w:rsid w:val="00342F0C"/>
    <w:rsid w:val="00344298"/>
    <w:rsid w:val="00347721"/>
    <w:rsid w:val="00351F92"/>
    <w:rsid w:val="0037236B"/>
    <w:rsid w:val="00377CDE"/>
    <w:rsid w:val="00385AD6"/>
    <w:rsid w:val="00393BC7"/>
    <w:rsid w:val="0039703E"/>
    <w:rsid w:val="003A4384"/>
    <w:rsid w:val="003A718D"/>
    <w:rsid w:val="003B0CCA"/>
    <w:rsid w:val="003B51E4"/>
    <w:rsid w:val="003E6267"/>
    <w:rsid w:val="003F0BE2"/>
    <w:rsid w:val="00403EB1"/>
    <w:rsid w:val="0040779E"/>
    <w:rsid w:val="004244C0"/>
    <w:rsid w:val="00432677"/>
    <w:rsid w:val="004329B0"/>
    <w:rsid w:val="00433D62"/>
    <w:rsid w:val="00452588"/>
    <w:rsid w:val="004573FE"/>
    <w:rsid w:val="004655E7"/>
    <w:rsid w:val="00485C05"/>
    <w:rsid w:val="00485D77"/>
    <w:rsid w:val="00486D16"/>
    <w:rsid w:val="004969E8"/>
    <w:rsid w:val="004A249C"/>
    <w:rsid w:val="004A50D5"/>
    <w:rsid w:val="004A7B69"/>
    <w:rsid w:val="004B5A26"/>
    <w:rsid w:val="004B7672"/>
    <w:rsid w:val="004C6090"/>
    <w:rsid w:val="004D49C4"/>
    <w:rsid w:val="004F213A"/>
    <w:rsid w:val="004F3F50"/>
    <w:rsid w:val="004F4B18"/>
    <w:rsid w:val="005003B9"/>
    <w:rsid w:val="005266DD"/>
    <w:rsid w:val="00532ACA"/>
    <w:rsid w:val="0054427C"/>
    <w:rsid w:val="0054601F"/>
    <w:rsid w:val="00551125"/>
    <w:rsid w:val="00585295"/>
    <w:rsid w:val="0059184D"/>
    <w:rsid w:val="00597F4A"/>
    <w:rsid w:val="005A6F1A"/>
    <w:rsid w:val="005C1816"/>
    <w:rsid w:val="005D29B5"/>
    <w:rsid w:val="005F1C55"/>
    <w:rsid w:val="005F7F94"/>
    <w:rsid w:val="0061266B"/>
    <w:rsid w:val="0062014C"/>
    <w:rsid w:val="00623B98"/>
    <w:rsid w:val="00627086"/>
    <w:rsid w:val="00631837"/>
    <w:rsid w:val="00636B95"/>
    <w:rsid w:val="0064560D"/>
    <w:rsid w:val="006463B7"/>
    <w:rsid w:val="00653244"/>
    <w:rsid w:val="00654584"/>
    <w:rsid w:val="00671C88"/>
    <w:rsid w:val="00681D33"/>
    <w:rsid w:val="0069586C"/>
    <w:rsid w:val="006A630B"/>
    <w:rsid w:val="006B4686"/>
    <w:rsid w:val="006C6552"/>
    <w:rsid w:val="0073351B"/>
    <w:rsid w:val="00733BE6"/>
    <w:rsid w:val="00741941"/>
    <w:rsid w:val="00751FE1"/>
    <w:rsid w:val="007669E7"/>
    <w:rsid w:val="00767441"/>
    <w:rsid w:val="00774F58"/>
    <w:rsid w:val="007766AC"/>
    <w:rsid w:val="00785FC0"/>
    <w:rsid w:val="007934A7"/>
    <w:rsid w:val="007954BC"/>
    <w:rsid w:val="007B5E73"/>
    <w:rsid w:val="007B709C"/>
    <w:rsid w:val="007D3C2C"/>
    <w:rsid w:val="007E1728"/>
    <w:rsid w:val="007F1AE9"/>
    <w:rsid w:val="00815B8D"/>
    <w:rsid w:val="00821A99"/>
    <w:rsid w:val="00821C7A"/>
    <w:rsid w:val="00822094"/>
    <w:rsid w:val="0082556D"/>
    <w:rsid w:val="00836A9C"/>
    <w:rsid w:val="008406B2"/>
    <w:rsid w:val="00845BA6"/>
    <w:rsid w:val="0084749E"/>
    <w:rsid w:val="0087168A"/>
    <w:rsid w:val="008724DE"/>
    <w:rsid w:val="00874903"/>
    <w:rsid w:val="00892C92"/>
    <w:rsid w:val="008940E4"/>
    <w:rsid w:val="008A0FA0"/>
    <w:rsid w:val="008C2E54"/>
    <w:rsid w:val="008D5714"/>
    <w:rsid w:val="008E3CD7"/>
    <w:rsid w:val="008E6967"/>
    <w:rsid w:val="00900DB8"/>
    <w:rsid w:val="00901CC0"/>
    <w:rsid w:val="00904918"/>
    <w:rsid w:val="009152CF"/>
    <w:rsid w:val="00917410"/>
    <w:rsid w:val="00917A70"/>
    <w:rsid w:val="00924E55"/>
    <w:rsid w:val="00926E23"/>
    <w:rsid w:val="009301AB"/>
    <w:rsid w:val="009302EC"/>
    <w:rsid w:val="00931DB7"/>
    <w:rsid w:val="0093577D"/>
    <w:rsid w:val="00940D8E"/>
    <w:rsid w:val="00946C76"/>
    <w:rsid w:val="00946DEC"/>
    <w:rsid w:val="00954579"/>
    <w:rsid w:val="00954D72"/>
    <w:rsid w:val="00956A29"/>
    <w:rsid w:val="0096048C"/>
    <w:rsid w:val="00982ED0"/>
    <w:rsid w:val="0098360B"/>
    <w:rsid w:val="00992B23"/>
    <w:rsid w:val="00994247"/>
    <w:rsid w:val="009A5853"/>
    <w:rsid w:val="009B1225"/>
    <w:rsid w:val="009B1FC8"/>
    <w:rsid w:val="009C0ABD"/>
    <w:rsid w:val="009C16A4"/>
    <w:rsid w:val="009C6860"/>
    <w:rsid w:val="009D1D8B"/>
    <w:rsid w:val="009F1458"/>
    <w:rsid w:val="009F38D6"/>
    <w:rsid w:val="009F46F1"/>
    <w:rsid w:val="00A079A7"/>
    <w:rsid w:val="00A14CBF"/>
    <w:rsid w:val="00A21379"/>
    <w:rsid w:val="00A31EBC"/>
    <w:rsid w:val="00A32F3D"/>
    <w:rsid w:val="00A33AF0"/>
    <w:rsid w:val="00A43452"/>
    <w:rsid w:val="00A434B6"/>
    <w:rsid w:val="00A51AFF"/>
    <w:rsid w:val="00A57816"/>
    <w:rsid w:val="00A7754D"/>
    <w:rsid w:val="00A900E0"/>
    <w:rsid w:val="00A905A1"/>
    <w:rsid w:val="00A93468"/>
    <w:rsid w:val="00AA3D35"/>
    <w:rsid w:val="00AB0E27"/>
    <w:rsid w:val="00AB39F1"/>
    <w:rsid w:val="00AD182E"/>
    <w:rsid w:val="00AD468E"/>
    <w:rsid w:val="00AD475C"/>
    <w:rsid w:val="00AD503E"/>
    <w:rsid w:val="00AE6107"/>
    <w:rsid w:val="00AF30A1"/>
    <w:rsid w:val="00B13645"/>
    <w:rsid w:val="00B1735F"/>
    <w:rsid w:val="00B21F51"/>
    <w:rsid w:val="00B3245E"/>
    <w:rsid w:val="00B52CDC"/>
    <w:rsid w:val="00B56399"/>
    <w:rsid w:val="00B60855"/>
    <w:rsid w:val="00B650D2"/>
    <w:rsid w:val="00B718F9"/>
    <w:rsid w:val="00B809F7"/>
    <w:rsid w:val="00B81341"/>
    <w:rsid w:val="00B86C58"/>
    <w:rsid w:val="00BA7678"/>
    <w:rsid w:val="00BA7E56"/>
    <w:rsid w:val="00BC63B1"/>
    <w:rsid w:val="00BF227B"/>
    <w:rsid w:val="00C00CC9"/>
    <w:rsid w:val="00C420E2"/>
    <w:rsid w:val="00C423A7"/>
    <w:rsid w:val="00C77272"/>
    <w:rsid w:val="00C82AA5"/>
    <w:rsid w:val="00C906EC"/>
    <w:rsid w:val="00C93BD4"/>
    <w:rsid w:val="00CA16B1"/>
    <w:rsid w:val="00CA2FCC"/>
    <w:rsid w:val="00CA768E"/>
    <w:rsid w:val="00CB29FC"/>
    <w:rsid w:val="00CB4913"/>
    <w:rsid w:val="00CD3432"/>
    <w:rsid w:val="00CD4E8F"/>
    <w:rsid w:val="00CE13C9"/>
    <w:rsid w:val="00CE764F"/>
    <w:rsid w:val="00CF117B"/>
    <w:rsid w:val="00CF4CBB"/>
    <w:rsid w:val="00CF7A71"/>
    <w:rsid w:val="00D03503"/>
    <w:rsid w:val="00D03E1C"/>
    <w:rsid w:val="00D07144"/>
    <w:rsid w:val="00D0724B"/>
    <w:rsid w:val="00D11A97"/>
    <w:rsid w:val="00D12E29"/>
    <w:rsid w:val="00D2628E"/>
    <w:rsid w:val="00D30735"/>
    <w:rsid w:val="00D363A9"/>
    <w:rsid w:val="00D36B7F"/>
    <w:rsid w:val="00D413C4"/>
    <w:rsid w:val="00D51F21"/>
    <w:rsid w:val="00D52A43"/>
    <w:rsid w:val="00D6305C"/>
    <w:rsid w:val="00D70AD5"/>
    <w:rsid w:val="00D760C0"/>
    <w:rsid w:val="00D77BC8"/>
    <w:rsid w:val="00D923AB"/>
    <w:rsid w:val="00DA1A40"/>
    <w:rsid w:val="00DA6020"/>
    <w:rsid w:val="00DB1993"/>
    <w:rsid w:val="00DB275A"/>
    <w:rsid w:val="00DB409E"/>
    <w:rsid w:val="00DC0628"/>
    <w:rsid w:val="00DC4FED"/>
    <w:rsid w:val="00DD093C"/>
    <w:rsid w:val="00DD0BBA"/>
    <w:rsid w:val="00DD57AF"/>
    <w:rsid w:val="00DE1E53"/>
    <w:rsid w:val="00DE6C5A"/>
    <w:rsid w:val="00DE77BB"/>
    <w:rsid w:val="00DF5533"/>
    <w:rsid w:val="00E07238"/>
    <w:rsid w:val="00E07845"/>
    <w:rsid w:val="00E2555A"/>
    <w:rsid w:val="00E302F3"/>
    <w:rsid w:val="00E4062A"/>
    <w:rsid w:val="00E40BB5"/>
    <w:rsid w:val="00E47EB1"/>
    <w:rsid w:val="00E51AD4"/>
    <w:rsid w:val="00E57FDB"/>
    <w:rsid w:val="00E62AEC"/>
    <w:rsid w:val="00E6563E"/>
    <w:rsid w:val="00E72300"/>
    <w:rsid w:val="00E7535F"/>
    <w:rsid w:val="00E90345"/>
    <w:rsid w:val="00E93CFB"/>
    <w:rsid w:val="00E956FC"/>
    <w:rsid w:val="00EA0F6F"/>
    <w:rsid w:val="00EC0E1B"/>
    <w:rsid w:val="00EC102C"/>
    <w:rsid w:val="00EC418A"/>
    <w:rsid w:val="00EC5A0A"/>
    <w:rsid w:val="00ED1905"/>
    <w:rsid w:val="00EF11A7"/>
    <w:rsid w:val="00EF26C5"/>
    <w:rsid w:val="00F06268"/>
    <w:rsid w:val="00F20A6D"/>
    <w:rsid w:val="00F3148E"/>
    <w:rsid w:val="00F44C30"/>
    <w:rsid w:val="00F5297A"/>
    <w:rsid w:val="00F546EE"/>
    <w:rsid w:val="00F54A12"/>
    <w:rsid w:val="00F61129"/>
    <w:rsid w:val="00F72AF3"/>
    <w:rsid w:val="00F732F1"/>
    <w:rsid w:val="00F829A8"/>
    <w:rsid w:val="00F967DB"/>
    <w:rsid w:val="00FA71F6"/>
    <w:rsid w:val="00FD07A9"/>
    <w:rsid w:val="00FD1538"/>
    <w:rsid w:val="00FD21FA"/>
    <w:rsid w:val="00FE3CE2"/>
    <w:rsid w:val="00FF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62AEC"/>
    <w:pPr>
      <w:jc w:val="both"/>
    </w:pPr>
    <w:rPr>
      <w:sz w:val="22"/>
      <w:szCs w:val="20"/>
    </w:rPr>
  </w:style>
  <w:style w:type="character" w:styleId="Hyperlink">
    <w:name w:val="Hyperlink"/>
    <w:rsid w:val="00E62AEC"/>
    <w:rPr>
      <w:color w:val="0000FF"/>
      <w:u w:val="single"/>
    </w:rPr>
  </w:style>
  <w:style w:type="table" w:styleId="TableGrid">
    <w:name w:val="Table Grid"/>
    <w:basedOn w:val="TableNormal"/>
    <w:rsid w:val="00E62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21379"/>
    <w:rPr>
      <w:rFonts w:ascii="Tahoma" w:hAnsi="Tahoma" w:cs="Tahoma"/>
      <w:sz w:val="16"/>
      <w:szCs w:val="16"/>
    </w:rPr>
  </w:style>
  <w:style w:type="character" w:styleId="FollowedHyperlink">
    <w:name w:val="FollowedHyperlink"/>
    <w:rsid w:val="002948A3"/>
    <w:rPr>
      <w:color w:val="800080"/>
      <w:u w:val="single"/>
    </w:rPr>
  </w:style>
  <w:style w:type="paragraph" w:customStyle="1" w:styleId="Hanging2">
    <w:name w:val="Hanging 2"/>
    <w:basedOn w:val="Normal"/>
    <w:next w:val="Normal"/>
    <w:rsid w:val="008724DE"/>
    <w:pPr>
      <w:spacing w:after="240"/>
      <w:ind w:left="720"/>
      <w:jc w:val="both"/>
    </w:pPr>
    <w:rPr>
      <w:szCs w:val="20"/>
    </w:rPr>
  </w:style>
  <w:style w:type="paragraph" w:styleId="NoSpacing">
    <w:name w:val="No Spacing"/>
    <w:qFormat/>
    <w:rsid w:val="00403EB1"/>
    <w:rPr>
      <w:rFonts w:ascii="Calibri" w:eastAsia="Calibri" w:hAnsi="Calibri"/>
      <w:sz w:val="22"/>
      <w:szCs w:val="22"/>
    </w:rPr>
  </w:style>
  <w:style w:type="character" w:styleId="CommentReference">
    <w:name w:val="annotation reference"/>
    <w:rsid w:val="004573FE"/>
    <w:rPr>
      <w:sz w:val="16"/>
      <w:szCs w:val="16"/>
    </w:rPr>
  </w:style>
  <w:style w:type="paragraph" w:styleId="CommentText">
    <w:name w:val="annotation text"/>
    <w:basedOn w:val="Normal"/>
    <w:link w:val="CommentTextChar"/>
    <w:qFormat/>
    <w:rsid w:val="004573FE"/>
    <w:rPr>
      <w:sz w:val="20"/>
      <w:szCs w:val="20"/>
    </w:rPr>
  </w:style>
  <w:style w:type="character" w:customStyle="1" w:styleId="CommentTextChar">
    <w:name w:val="Comment Text Char"/>
    <w:basedOn w:val="DefaultParagraphFont"/>
    <w:link w:val="CommentText"/>
    <w:rsid w:val="004573FE"/>
  </w:style>
  <w:style w:type="paragraph" w:styleId="CommentSubject">
    <w:name w:val="annotation subject"/>
    <w:basedOn w:val="CommentText"/>
    <w:next w:val="CommentText"/>
    <w:link w:val="CommentSubjectChar"/>
    <w:rsid w:val="004573FE"/>
    <w:rPr>
      <w:b/>
      <w:bCs/>
    </w:rPr>
  </w:style>
  <w:style w:type="character" w:customStyle="1" w:styleId="CommentSubjectChar">
    <w:name w:val="Comment Subject Char"/>
    <w:link w:val="CommentSubject"/>
    <w:rsid w:val="004573FE"/>
    <w:rPr>
      <w:b/>
      <w:bCs/>
    </w:rPr>
  </w:style>
  <w:style w:type="paragraph" w:customStyle="1" w:styleId="Default">
    <w:name w:val="Default"/>
    <w:rsid w:val="00DE6C5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931DB7"/>
    <w:pPr>
      <w:spacing w:after="120"/>
    </w:pPr>
  </w:style>
  <w:style w:type="character" w:customStyle="1" w:styleId="BodyTextChar">
    <w:name w:val="Body Text Char"/>
    <w:link w:val="BodyText"/>
    <w:rsid w:val="00931DB7"/>
    <w:rPr>
      <w:sz w:val="24"/>
      <w:szCs w:val="24"/>
    </w:rPr>
  </w:style>
  <w:style w:type="paragraph" w:customStyle="1" w:styleId="SourceCaption">
    <w:name w:val="Source Caption"/>
    <w:basedOn w:val="BodyText"/>
    <w:link w:val="SourceCaptionChar"/>
    <w:qFormat/>
    <w:rsid w:val="00A900E0"/>
    <w:pPr>
      <w:spacing w:before="40"/>
      <w:ind w:left="720"/>
      <w:contextualSpacing/>
      <w:jc w:val="both"/>
    </w:pPr>
    <w:rPr>
      <w:rFonts w:ascii="Arial" w:hAnsi="Arial"/>
      <w:sz w:val="16"/>
      <w:szCs w:val="16"/>
    </w:rPr>
  </w:style>
  <w:style w:type="character" w:customStyle="1" w:styleId="SourceCaptionChar">
    <w:name w:val="Source Caption Char"/>
    <w:link w:val="SourceCaption"/>
    <w:rsid w:val="00A900E0"/>
    <w:rPr>
      <w:rFonts w:ascii="Arial" w:hAnsi="Arial"/>
      <w:sz w:val="16"/>
      <w:szCs w:val="16"/>
    </w:rPr>
  </w:style>
  <w:style w:type="paragraph" w:customStyle="1" w:styleId="TableText">
    <w:name w:val="Table Text"/>
    <w:basedOn w:val="Normal"/>
    <w:qFormat/>
    <w:rsid w:val="009C0ABD"/>
    <w:pPr>
      <w:tabs>
        <w:tab w:val="num" w:pos="1800"/>
      </w:tabs>
      <w:contextualSpacing/>
    </w:pPr>
    <w:rPr>
      <w:rFonts w:ascii="Arial" w:hAnsi="Arial"/>
      <w:sz w:val="18"/>
      <w:szCs w:val="20"/>
    </w:rPr>
  </w:style>
  <w:style w:type="paragraph" w:customStyle="1" w:styleId="TableTitle">
    <w:name w:val="Table Title"/>
    <w:basedOn w:val="Normal"/>
    <w:next w:val="BodyText"/>
    <w:uiPriority w:val="5"/>
    <w:qFormat/>
    <w:rsid w:val="009C0ABD"/>
    <w:pPr>
      <w:keepNext/>
      <w:spacing w:before="120" w:after="120"/>
      <w:ind w:left="835" w:hanging="115"/>
    </w:pPr>
    <w:rPr>
      <w:rFonts w:ascii="Arial" w:hAnsi="Arial"/>
      <w:b/>
      <w:sz w:val="20"/>
      <w:szCs w:val="20"/>
    </w:rPr>
  </w:style>
  <w:style w:type="character" w:customStyle="1" w:styleId="apple-style-span">
    <w:name w:val="apple-style-span"/>
    <w:basedOn w:val="DefaultParagraphFont"/>
    <w:rsid w:val="00201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62AEC"/>
    <w:pPr>
      <w:jc w:val="both"/>
    </w:pPr>
    <w:rPr>
      <w:sz w:val="22"/>
      <w:szCs w:val="20"/>
    </w:rPr>
  </w:style>
  <w:style w:type="character" w:styleId="Hyperlink">
    <w:name w:val="Hyperlink"/>
    <w:rsid w:val="00E62AEC"/>
    <w:rPr>
      <w:color w:val="0000FF"/>
      <w:u w:val="single"/>
    </w:rPr>
  </w:style>
  <w:style w:type="table" w:styleId="TableGrid">
    <w:name w:val="Table Grid"/>
    <w:basedOn w:val="TableNormal"/>
    <w:rsid w:val="00E62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21379"/>
    <w:rPr>
      <w:rFonts w:ascii="Tahoma" w:hAnsi="Tahoma" w:cs="Tahoma"/>
      <w:sz w:val="16"/>
      <w:szCs w:val="16"/>
    </w:rPr>
  </w:style>
  <w:style w:type="character" w:styleId="FollowedHyperlink">
    <w:name w:val="FollowedHyperlink"/>
    <w:rsid w:val="002948A3"/>
    <w:rPr>
      <w:color w:val="800080"/>
      <w:u w:val="single"/>
    </w:rPr>
  </w:style>
  <w:style w:type="paragraph" w:customStyle="1" w:styleId="Hanging2">
    <w:name w:val="Hanging 2"/>
    <w:basedOn w:val="Normal"/>
    <w:next w:val="Normal"/>
    <w:rsid w:val="008724DE"/>
    <w:pPr>
      <w:spacing w:after="240"/>
      <w:ind w:left="720"/>
      <w:jc w:val="both"/>
    </w:pPr>
    <w:rPr>
      <w:szCs w:val="20"/>
    </w:rPr>
  </w:style>
  <w:style w:type="paragraph" w:styleId="NoSpacing">
    <w:name w:val="No Spacing"/>
    <w:qFormat/>
    <w:rsid w:val="00403EB1"/>
    <w:rPr>
      <w:rFonts w:ascii="Calibri" w:eastAsia="Calibri" w:hAnsi="Calibri"/>
      <w:sz w:val="22"/>
      <w:szCs w:val="22"/>
    </w:rPr>
  </w:style>
  <w:style w:type="character" w:styleId="CommentReference">
    <w:name w:val="annotation reference"/>
    <w:rsid w:val="004573FE"/>
    <w:rPr>
      <w:sz w:val="16"/>
      <w:szCs w:val="16"/>
    </w:rPr>
  </w:style>
  <w:style w:type="paragraph" w:styleId="CommentText">
    <w:name w:val="annotation text"/>
    <w:basedOn w:val="Normal"/>
    <w:link w:val="CommentTextChar"/>
    <w:qFormat/>
    <w:rsid w:val="004573FE"/>
    <w:rPr>
      <w:sz w:val="20"/>
      <w:szCs w:val="20"/>
    </w:rPr>
  </w:style>
  <w:style w:type="character" w:customStyle="1" w:styleId="CommentTextChar">
    <w:name w:val="Comment Text Char"/>
    <w:basedOn w:val="DefaultParagraphFont"/>
    <w:link w:val="CommentText"/>
    <w:rsid w:val="004573FE"/>
  </w:style>
  <w:style w:type="paragraph" w:styleId="CommentSubject">
    <w:name w:val="annotation subject"/>
    <w:basedOn w:val="CommentText"/>
    <w:next w:val="CommentText"/>
    <w:link w:val="CommentSubjectChar"/>
    <w:rsid w:val="004573FE"/>
    <w:rPr>
      <w:b/>
      <w:bCs/>
    </w:rPr>
  </w:style>
  <w:style w:type="character" w:customStyle="1" w:styleId="CommentSubjectChar">
    <w:name w:val="Comment Subject Char"/>
    <w:link w:val="CommentSubject"/>
    <w:rsid w:val="004573FE"/>
    <w:rPr>
      <w:b/>
      <w:bCs/>
    </w:rPr>
  </w:style>
  <w:style w:type="paragraph" w:customStyle="1" w:styleId="Default">
    <w:name w:val="Default"/>
    <w:rsid w:val="00DE6C5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931DB7"/>
    <w:pPr>
      <w:spacing w:after="120"/>
    </w:pPr>
  </w:style>
  <w:style w:type="character" w:customStyle="1" w:styleId="BodyTextChar">
    <w:name w:val="Body Text Char"/>
    <w:link w:val="BodyText"/>
    <w:rsid w:val="00931DB7"/>
    <w:rPr>
      <w:sz w:val="24"/>
      <w:szCs w:val="24"/>
    </w:rPr>
  </w:style>
  <w:style w:type="paragraph" w:customStyle="1" w:styleId="SourceCaption">
    <w:name w:val="Source Caption"/>
    <w:basedOn w:val="BodyText"/>
    <w:link w:val="SourceCaptionChar"/>
    <w:qFormat/>
    <w:rsid w:val="00A900E0"/>
    <w:pPr>
      <w:spacing w:before="40"/>
      <w:ind w:left="720"/>
      <w:contextualSpacing/>
      <w:jc w:val="both"/>
    </w:pPr>
    <w:rPr>
      <w:rFonts w:ascii="Arial" w:hAnsi="Arial"/>
      <w:sz w:val="16"/>
      <w:szCs w:val="16"/>
    </w:rPr>
  </w:style>
  <w:style w:type="character" w:customStyle="1" w:styleId="SourceCaptionChar">
    <w:name w:val="Source Caption Char"/>
    <w:link w:val="SourceCaption"/>
    <w:rsid w:val="00A900E0"/>
    <w:rPr>
      <w:rFonts w:ascii="Arial" w:hAnsi="Arial"/>
      <w:sz w:val="16"/>
      <w:szCs w:val="16"/>
    </w:rPr>
  </w:style>
  <w:style w:type="paragraph" w:customStyle="1" w:styleId="TableText">
    <w:name w:val="Table Text"/>
    <w:basedOn w:val="Normal"/>
    <w:qFormat/>
    <w:rsid w:val="009C0ABD"/>
    <w:pPr>
      <w:tabs>
        <w:tab w:val="num" w:pos="1800"/>
      </w:tabs>
      <w:contextualSpacing/>
    </w:pPr>
    <w:rPr>
      <w:rFonts w:ascii="Arial" w:hAnsi="Arial"/>
      <w:sz w:val="18"/>
      <w:szCs w:val="20"/>
    </w:rPr>
  </w:style>
  <w:style w:type="paragraph" w:customStyle="1" w:styleId="TableTitle">
    <w:name w:val="Table Title"/>
    <w:basedOn w:val="Normal"/>
    <w:next w:val="BodyText"/>
    <w:uiPriority w:val="5"/>
    <w:qFormat/>
    <w:rsid w:val="009C0ABD"/>
    <w:pPr>
      <w:keepNext/>
      <w:spacing w:before="120" w:after="120"/>
      <w:ind w:left="835" w:hanging="115"/>
    </w:pPr>
    <w:rPr>
      <w:rFonts w:ascii="Arial" w:hAnsi="Arial"/>
      <w:b/>
      <w:sz w:val="20"/>
      <w:szCs w:val="20"/>
    </w:rPr>
  </w:style>
  <w:style w:type="character" w:customStyle="1" w:styleId="apple-style-span">
    <w:name w:val="apple-style-span"/>
    <w:basedOn w:val="DefaultParagraphFont"/>
    <w:rsid w:val="002013E3"/>
  </w:style>
</w:styles>
</file>

<file path=word/webSettings.xml><?xml version="1.0" encoding="utf-8"?>
<w:webSettings xmlns:r="http://schemas.openxmlformats.org/officeDocument/2006/relationships" xmlns:w="http://schemas.openxmlformats.org/wordprocessingml/2006/main">
  <w:divs>
    <w:div w:id="95369132">
      <w:bodyDiv w:val="1"/>
      <w:marLeft w:val="0"/>
      <w:marRight w:val="0"/>
      <w:marTop w:val="0"/>
      <w:marBottom w:val="0"/>
      <w:divBdr>
        <w:top w:val="none" w:sz="0" w:space="0" w:color="auto"/>
        <w:left w:val="none" w:sz="0" w:space="0" w:color="auto"/>
        <w:bottom w:val="none" w:sz="0" w:space="0" w:color="auto"/>
        <w:right w:val="none" w:sz="0" w:space="0" w:color="auto"/>
      </w:divBdr>
    </w:div>
    <w:div w:id="500118382">
      <w:bodyDiv w:val="1"/>
      <w:marLeft w:val="0"/>
      <w:marRight w:val="0"/>
      <w:marTop w:val="0"/>
      <w:marBottom w:val="0"/>
      <w:divBdr>
        <w:top w:val="none" w:sz="0" w:space="0" w:color="auto"/>
        <w:left w:val="none" w:sz="0" w:space="0" w:color="auto"/>
        <w:bottom w:val="none" w:sz="0" w:space="0" w:color="auto"/>
        <w:right w:val="none" w:sz="0" w:space="0" w:color="auto"/>
      </w:divBdr>
    </w:div>
    <w:div w:id="1129133027">
      <w:bodyDiv w:val="1"/>
      <w:marLeft w:val="0"/>
      <w:marRight w:val="0"/>
      <w:marTop w:val="0"/>
      <w:marBottom w:val="0"/>
      <w:divBdr>
        <w:top w:val="none" w:sz="0" w:space="0" w:color="auto"/>
        <w:left w:val="none" w:sz="0" w:space="0" w:color="auto"/>
        <w:bottom w:val="none" w:sz="0" w:space="0" w:color="auto"/>
        <w:right w:val="none" w:sz="0" w:space="0" w:color="auto"/>
      </w:divBdr>
    </w:div>
    <w:div w:id="1548644461">
      <w:bodyDiv w:val="1"/>
      <w:marLeft w:val="0"/>
      <w:marRight w:val="0"/>
      <w:marTop w:val="0"/>
      <w:marBottom w:val="0"/>
      <w:divBdr>
        <w:top w:val="none" w:sz="0" w:space="0" w:color="auto"/>
        <w:left w:val="none" w:sz="0" w:space="0" w:color="auto"/>
        <w:bottom w:val="none" w:sz="0" w:space="0" w:color="auto"/>
        <w:right w:val="none" w:sz="0" w:space="0" w:color="auto"/>
      </w:divBdr>
    </w:div>
    <w:div w:id="1766805721">
      <w:bodyDiv w:val="1"/>
      <w:marLeft w:val="0"/>
      <w:marRight w:val="0"/>
      <w:marTop w:val="0"/>
      <w:marBottom w:val="0"/>
      <w:divBdr>
        <w:top w:val="none" w:sz="0" w:space="0" w:color="auto"/>
        <w:left w:val="none" w:sz="0" w:space="0" w:color="auto"/>
        <w:bottom w:val="none" w:sz="0" w:space="0" w:color="auto"/>
        <w:right w:val="none" w:sz="0" w:space="0" w:color="auto"/>
      </w:divBdr>
    </w:div>
    <w:div w:id="19900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tarioxr.com/hamilton.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olitarioxr.com/art/Seligm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lygoldandminerals.com" TargetMode="External"/><Relationship Id="rId4" Type="http://schemas.openxmlformats.org/officeDocument/2006/relationships/webSettings" Target="webSettings.xml"/><Relationship Id="rId9" Type="http://schemas.openxmlformats.org/officeDocument/2006/relationships/hyperlink" Target="http://www.solitariox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DENVER, COLORADO:  Today Solitario Resources Corporation announced significant drilling results on two of its exploration properties</vt:lpstr>
    </vt:vector>
  </TitlesOfParts>
  <Company>Hewlett-Packard</Company>
  <LinksUpToDate>false</LinksUpToDate>
  <CharactersWithSpaces>14814</CharactersWithSpaces>
  <SharedDoc>false</SharedDoc>
  <HLinks>
    <vt:vector size="12" baseType="variant">
      <vt:variant>
        <vt:i4>2162722</vt:i4>
      </vt:variant>
      <vt:variant>
        <vt:i4>3</vt:i4>
      </vt:variant>
      <vt:variant>
        <vt:i4>0</vt:i4>
      </vt:variant>
      <vt:variant>
        <vt:i4>5</vt:i4>
      </vt:variant>
      <vt:variant>
        <vt:lpwstr>http://www.elygoldandminerals.com/</vt:lpwstr>
      </vt:variant>
      <vt:variant>
        <vt:lpwstr/>
      </vt:variant>
      <vt:variant>
        <vt:i4>6226010</vt:i4>
      </vt:variant>
      <vt:variant>
        <vt:i4>0</vt:i4>
      </vt:variant>
      <vt:variant>
        <vt:i4>0</vt:i4>
      </vt:variant>
      <vt:variant>
        <vt:i4>5</vt:i4>
      </vt:variant>
      <vt:variant>
        <vt:lpwstr>http://www.solitarioxlr.com/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COLORADO:  Today Solitario Resources Corporation announced significant drilling results on two of its exploration properties</dc:title>
  <dc:creator>chris</dc:creator>
  <cp:lastModifiedBy>Debbie</cp:lastModifiedBy>
  <cp:revision>5</cp:revision>
  <cp:lastPrinted>2012-09-07T19:20:00Z</cp:lastPrinted>
  <dcterms:created xsi:type="dcterms:W3CDTF">2012-09-07T19:20:00Z</dcterms:created>
  <dcterms:modified xsi:type="dcterms:W3CDTF">2012-09-07T19:39:00Z</dcterms:modified>
</cp:coreProperties>
</file>